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D13" w:rsidRDefault="00032D13">
      <w:pPr>
        <w:rPr>
          <w:rFonts w:ascii="Times New Roman" w:hAnsi="Times New Roman"/>
          <w:b/>
          <w:sz w:val="30"/>
          <w:szCs w:val="30"/>
        </w:rPr>
      </w:pPr>
      <w:r w:rsidRPr="00032D13">
        <w:rPr>
          <w:rFonts w:ascii="Times New Roman" w:hAnsi="Times New Roman"/>
          <w:b/>
          <w:noProof/>
          <w:sz w:val="30"/>
          <w:szCs w:val="30"/>
          <w:lang w:eastAsia="ru-RU"/>
        </w:rPr>
        <w:drawing>
          <wp:inline distT="0" distB="0" distL="0" distR="0">
            <wp:extent cx="5940425" cy="8580614"/>
            <wp:effectExtent l="0" t="0" r="0" b="0"/>
            <wp:docPr id="2" name="Рисунок 2" descr="I:\Проекты, презентации и т.д\Живая память\ТИТУ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роекты, презентации и т.д\Живая память\ТИТУЛЬНЫЙ.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580614"/>
                    </a:xfrm>
                    <a:prstGeom prst="rect">
                      <a:avLst/>
                    </a:prstGeom>
                    <a:noFill/>
                    <a:ln>
                      <a:noFill/>
                    </a:ln>
                  </pic:spPr>
                </pic:pic>
              </a:graphicData>
            </a:graphic>
          </wp:inline>
        </w:drawing>
      </w:r>
      <w:bookmarkStart w:id="0" w:name="_GoBack"/>
      <w:bookmarkEnd w:id="0"/>
      <w:r>
        <w:rPr>
          <w:rFonts w:ascii="Times New Roman" w:hAnsi="Times New Roman"/>
          <w:b/>
          <w:sz w:val="30"/>
          <w:szCs w:val="30"/>
        </w:rPr>
        <w:br w:type="page"/>
      </w:r>
    </w:p>
    <w:p w:rsidR="00CB64A5" w:rsidRPr="00E30AB3" w:rsidRDefault="00E30AB3" w:rsidP="00E30AB3">
      <w:pPr>
        <w:spacing w:after="0" w:line="240" w:lineRule="auto"/>
        <w:jc w:val="center"/>
        <w:rPr>
          <w:rFonts w:ascii="Times New Roman" w:hAnsi="Times New Roman"/>
          <w:b/>
          <w:sz w:val="30"/>
          <w:szCs w:val="30"/>
        </w:rPr>
      </w:pPr>
      <w:r w:rsidRPr="00E30AB3">
        <w:rPr>
          <w:rFonts w:ascii="Times New Roman" w:hAnsi="Times New Roman"/>
          <w:b/>
          <w:sz w:val="30"/>
          <w:szCs w:val="30"/>
        </w:rPr>
        <w:lastRenderedPageBreak/>
        <w:t>Описание историко – краеведческого маршрута</w:t>
      </w:r>
    </w:p>
    <w:p w:rsidR="00E30AB3" w:rsidRDefault="00E30AB3" w:rsidP="00090E50">
      <w:pPr>
        <w:spacing w:after="0" w:line="240" w:lineRule="auto"/>
        <w:ind w:firstLine="709"/>
        <w:jc w:val="both"/>
        <w:rPr>
          <w:rFonts w:ascii="Times New Roman" w:hAnsi="Times New Roman"/>
          <w:b/>
          <w:i/>
          <w:sz w:val="30"/>
          <w:szCs w:val="30"/>
          <w:lang w:eastAsia="ru-RU"/>
        </w:rPr>
      </w:pPr>
    </w:p>
    <w:p w:rsidR="00090E50" w:rsidRPr="008D1192" w:rsidRDefault="00E40FEE" w:rsidP="00090E50">
      <w:pPr>
        <w:spacing w:after="0" w:line="240" w:lineRule="auto"/>
        <w:ind w:firstLine="709"/>
        <w:jc w:val="both"/>
        <w:rPr>
          <w:rFonts w:ascii="Times New Roman" w:hAnsi="Times New Roman"/>
          <w:sz w:val="30"/>
          <w:szCs w:val="30"/>
          <w:lang w:eastAsia="ru-RU"/>
        </w:rPr>
      </w:pPr>
      <w:r w:rsidRPr="00E40FEE">
        <w:rPr>
          <w:rFonts w:ascii="Times New Roman" w:hAnsi="Times New Roman"/>
          <w:b/>
          <w:i/>
          <w:sz w:val="30"/>
          <w:szCs w:val="30"/>
          <w:lang w:eastAsia="ru-RU"/>
        </w:rPr>
        <w:t>Гнучих Маргарита:</w:t>
      </w:r>
      <w:r w:rsidR="00E30AB3">
        <w:rPr>
          <w:rFonts w:ascii="Times New Roman" w:hAnsi="Times New Roman"/>
          <w:b/>
          <w:i/>
          <w:sz w:val="30"/>
          <w:szCs w:val="30"/>
          <w:lang w:eastAsia="ru-RU"/>
        </w:rPr>
        <w:t xml:space="preserve"> </w:t>
      </w:r>
      <w:r w:rsidR="00E30AB3" w:rsidRPr="00E30AB3">
        <w:rPr>
          <w:rFonts w:ascii="Times New Roman" w:hAnsi="Times New Roman"/>
          <w:sz w:val="30"/>
          <w:szCs w:val="30"/>
          <w:lang w:eastAsia="ru-RU"/>
        </w:rPr>
        <w:t>История</w:t>
      </w:r>
      <w:r w:rsidR="00E30AB3">
        <w:rPr>
          <w:rFonts w:ascii="Times New Roman" w:hAnsi="Times New Roman"/>
          <w:sz w:val="30"/>
          <w:szCs w:val="30"/>
          <w:lang w:eastAsia="ru-RU"/>
        </w:rPr>
        <w:t xml:space="preserve"> </w:t>
      </w:r>
      <w:r w:rsidR="00090E50" w:rsidRPr="008D1192">
        <w:rPr>
          <w:rFonts w:ascii="Times New Roman" w:hAnsi="Times New Roman"/>
          <w:sz w:val="30"/>
          <w:szCs w:val="30"/>
          <w:lang w:eastAsia="ru-RU"/>
        </w:rPr>
        <w:t xml:space="preserve">Великой Отечественной Войны — это один из нескольких китов, на которых держится идеология Беларуси второй половины XX века. Победа — величайший подвиг нашего народа и факт, который не нужно доказывать. </w:t>
      </w:r>
    </w:p>
    <w:p w:rsidR="00090E50" w:rsidRPr="008D1192" w:rsidRDefault="00090E50" w:rsidP="00090E50">
      <w:pPr>
        <w:spacing w:after="0" w:line="240" w:lineRule="auto"/>
        <w:ind w:firstLine="709"/>
        <w:jc w:val="both"/>
        <w:rPr>
          <w:rFonts w:ascii="Times New Roman" w:hAnsi="Times New Roman"/>
          <w:sz w:val="30"/>
          <w:szCs w:val="30"/>
          <w:lang w:eastAsia="ru-RU"/>
        </w:rPr>
      </w:pPr>
      <w:r w:rsidRPr="008D1192">
        <w:rPr>
          <w:rFonts w:ascii="Times New Roman" w:hAnsi="Times New Roman"/>
          <w:sz w:val="30"/>
          <w:szCs w:val="30"/>
          <w:lang w:eastAsia="ru-RU"/>
        </w:rPr>
        <w:t xml:space="preserve">Что такое Великая Отечественная Война для нас, её потомков? Это горы учебников, монографий, мемуаров, прочей специальной литературы, тысячи героических фильмов. Это музеи, со скрипучим паркетом, это выхолощенные танки и артиллерийские орудия, с множеством звезд на дулах. Так ли выглядит война? Так ли досталась победа? Дети, задорно бегающие в музейных залах, — это лишь видимая часть истории Великой Отечественной Войны, то, ради чего умирали миллионы наших дедов и прадедов. Основная, невидимая часть страшного прошлого скрыта от людских глаз. Что же это? </w:t>
      </w:r>
    </w:p>
    <w:p w:rsidR="00090E50" w:rsidRPr="008D1192" w:rsidRDefault="00090E50" w:rsidP="00090E50">
      <w:pPr>
        <w:spacing w:after="0" w:line="240" w:lineRule="auto"/>
        <w:ind w:firstLine="709"/>
        <w:jc w:val="both"/>
        <w:rPr>
          <w:rFonts w:ascii="Times New Roman" w:hAnsi="Times New Roman"/>
          <w:sz w:val="30"/>
          <w:szCs w:val="30"/>
          <w:lang w:eastAsia="ru-RU"/>
        </w:rPr>
      </w:pPr>
      <w:r w:rsidRPr="008D1192">
        <w:rPr>
          <w:rFonts w:ascii="Times New Roman" w:hAnsi="Times New Roman"/>
          <w:sz w:val="30"/>
          <w:szCs w:val="30"/>
          <w:lang w:eastAsia="ru-RU"/>
        </w:rPr>
        <w:t xml:space="preserve">Ответ прост — это вросшие в землю ДОТы, с покосившимися и разбитыми бойницами, это запрятанные в лесах капониры, это воронки и траншеи, с которых будто вчера смыта человеческая кровь. Это места былых сражений, места тысяч смертей. Достаточно прислушаться, чтобы услышать несмолкаемый стон земли, которой пришлось это пережить. Достаточно закрыть глаза, чтобы представить это. Однако мы не в силах сделать ничего, чтобы это забыть. </w:t>
      </w:r>
    </w:p>
    <w:p w:rsidR="00090E50" w:rsidRPr="008D1192" w:rsidRDefault="00090E50" w:rsidP="00090E50">
      <w:pPr>
        <w:spacing w:after="0" w:line="240" w:lineRule="auto"/>
        <w:ind w:firstLine="709"/>
        <w:jc w:val="both"/>
        <w:rPr>
          <w:rFonts w:ascii="Times New Roman" w:hAnsi="Times New Roman"/>
          <w:sz w:val="30"/>
          <w:szCs w:val="30"/>
          <w:lang w:eastAsia="ru-RU"/>
        </w:rPr>
      </w:pPr>
      <w:r w:rsidRPr="00E40FEE">
        <w:rPr>
          <w:rFonts w:ascii="Times New Roman" w:hAnsi="Times New Roman"/>
          <w:b/>
          <w:i/>
          <w:noProof/>
          <w:sz w:val="30"/>
          <w:szCs w:val="30"/>
          <w:lang w:eastAsia="ru-RU"/>
        </w:rPr>
        <w:drawing>
          <wp:anchor distT="0" distB="0" distL="114300" distR="114300" simplePos="0" relativeHeight="251661312" behindDoc="1" locked="0" layoutInCell="1" allowOverlap="1">
            <wp:simplePos x="0" y="0"/>
            <wp:positionH relativeFrom="column">
              <wp:posOffset>-41910</wp:posOffset>
            </wp:positionH>
            <wp:positionV relativeFrom="paragraph">
              <wp:posOffset>778510</wp:posOffset>
            </wp:positionV>
            <wp:extent cx="3124200" cy="2355215"/>
            <wp:effectExtent l="266700" t="228600" r="266700" b="216535"/>
            <wp:wrapTight wrapText="bothSides">
              <wp:wrapPolygon edited="0">
                <wp:start x="2766" y="-2097"/>
                <wp:lineTo x="1449" y="-1922"/>
                <wp:lineTo x="-1185" y="-175"/>
                <wp:lineTo x="-1185" y="699"/>
                <wp:lineTo x="-1844" y="3494"/>
                <wp:lineTo x="-1844" y="20266"/>
                <wp:lineTo x="-1185" y="23062"/>
                <wp:lineTo x="263" y="23586"/>
                <wp:lineTo x="19098" y="23586"/>
                <wp:lineTo x="19493" y="23586"/>
                <wp:lineTo x="20810" y="23236"/>
                <wp:lineTo x="20810" y="23062"/>
                <wp:lineTo x="21073" y="23062"/>
                <wp:lineTo x="22917" y="20616"/>
                <wp:lineTo x="22917" y="20266"/>
                <wp:lineTo x="23312" y="17646"/>
                <wp:lineTo x="23312" y="874"/>
                <wp:lineTo x="23444" y="-175"/>
                <wp:lineTo x="22127" y="-1922"/>
                <wp:lineTo x="21205" y="-2097"/>
                <wp:lineTo x="2766" y="-2097"/>
              </wp:wrapPolygon>
            </wp:wrapTight>
            <wp:docPr id="21" name="Рисунок 10" descr="F:\Работа\100 дорог\782px-Rzeczpospolita_19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Работа\100 дорог\782px-Rzeczpospolita_1920.png"/>
                    <pic:cNvPicPr>
                      <a:picLocks noChangeAspect="1" noChangeArrowheads="1"/>
                    </pic:cNvPicPr>
                  </pic:nvPicPr>
                  <pic:blipFill>
                    <a:blip r:embed="rId8" cstate="print"/>
                    <a:srcRect/>
                    <a:stretch>
                      <a:fillRect/>
                    </a:stretch>
                  </pic:blipFill>
                  <pic:spPr bwMode="auto">
                    <a:xfrm>
                      <a:off x="0" y="0"/>
                      <a:ext cx="3124200" cy="2355215"/>
                    </a:xfrm>
                    <a:prstGeom prst="round2DiagRect">
                      <a:avLst>
                        <a:gd name="adj1" fmla="val 16667"/>
                        <a:gd name="adj2" fmla="val 0"/>
                      </a:avLst>
                    </a:prstGeom>
                    <a:ln w="381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00E40FEE" w:rsidRPr="00E40FEE">
        <w:rPr>
          <w:rFonts w:ascii="Times New Roman" w:hAnsi="Times New Roman"/>
          <w:b/>
          <w:i/>
          <w:sz w:val="30"/>
          <w:szCs w:val="30"/>
          <w:lang w:eastAsia="ru-RU"/>
        </w:rPr>
        <w:t>Савошинский Артем:</w:t>
      </w:r>
      <w:r w:rsidR="00E40FEE">
        <w:rPr>
          <w:rFonts w:ascii="Times New Roman" w:hAnsi="Times New Roman"/>
          <w:sz w:val="30"/>
          <w:szCs w:val="30"/>
          <w:lang w:eastAsia="ru-RU"/>
        </w:rPr>
        <w:t xml:space="preserve"> </w:t>
      </w:r>
      <w:r w:rsidRPr="008D1192">
        <w:rPr>
          <w:rFonts w:ascii="Times New Roman" w:hAnsi="Times New Roman"/>
          <w:sz w:val="30"/>
          <w:szCs w:val="30"/>
          <w:lang w:eastAsia="ru-RU"/>
        </w:rPr>
        <w:t xml:space="preserve">Фортификация, а именно ДОТы и капониры, представляют огромный интерес для нас, так как более загадочных и самодостаточных мест тех времен просто не найти. Именно с фортификации Минского УР (МиУРа) </w:t>
      </w:r>
      <w:r w:rsidRPr="008D1192">
        <w:rPr>
          <w:rFonts w:ascii="Times New Roman" w:hAnsi="Times New Roman"/>
          <w:bCs/>
          <w:sz w:val="30"/>
          <w:szCs w:val="30"/>
          <w:lang w:eastAsia="ru-RU"/>
        </w:rPr>
        <w:t>посвящена наша экскурсия</w:t>
      </w:r>
      <w:r w:rsidRPr="008D1192">
        <w:rPr>
          <w:rFonts w:ascii="Times New Roman" w:hAnsi="Times New Roman"/>
          <w:sz w:val="30"/>
          <w:szCs w:val="30"/>
          <w:lang w:eastAsia="ru-RU"/>
        </w:rPr>
        <w:t>.</w:t>
      </w:r>
    </w:p>
    <w:p w:rsidR="00090E50" w:rsidRPr="008D1192" w:rsidRDefault="00090E50" w:rsidP="00090E50">
      <w:pPr>
        <w:spacing w:after="0" w:line="240" w:lineRule="auto"/>
        <w:ind w:firstLine="709"/>
        <w:jc w:val="both"/>
        <w:rPr>
          <w:rFonts w:ascii="Times New Roman" w:eastAsia="Times New Roman" w:hAnsi="Times New Roman"/>
          <w:snapToGrid w:val="0"/>
          <w:color w:val="000000"/>
          <w:w w:val="0"/>
          <w:sz w:val="30"/>
          <w:szCs w:val="30"/>
          <w:u w:color="000000"/>
          <w:bdr w:val="none" w:sz="0" w:space="0" w:color="000000"/>
          <w:shd w:val="clear" w:color="000000" w:fill="000000"/>
        </w:rPr>
      </w:pPr>
      <w:r w:rsidRPr="008D1192">
        <w:rPr>
          <w:rFonts w:ascii="Times New Roman" w:hAnsi="Times New Roman"/>
          <w:sz w:val="30"/>
          <w:szCs w:val="30"/>
        </w:rPr>
        <w:t>18 марта 1921 года подписанием Рижского мирного договора закончилась советско-польская война.</w:t>
      </w:r>
      <w:r w:rsidRPr="008D1192">
        <w:rPr>
          <w:rFonts w:ascii="Times New Roman" w:eastAsia="Times New Roman" w:hAnsi="Times New Roman"/>
          <w:snapToGrid w:val="0"/>
          <w:color w:val="000000"/>
          <w:w w:val="0"/>
          <w:sz w:val="30"/>
          <w:szCs w:val="30"/>
          <w:u w:color="000000"/>
          <w:bdr w:val="none" w:sz="0" w:space="0" w:color="000000"/>
          <w:shd w:val="clear" w:color="000000" w:fill="000000"/>
        </w:rPr>
        <w:t xml:space="preserve"> </w:t>
      </w:r>
    </w:p>
    <w:p w:rsidR="00090E50" w:rsidRPr="008D1192" w:rsidRDefault="00090E50" w:rsidP="00090E50">
      <w:pPr>
        <w:spacing w:after="0" w:line="240" w:lineRule="auto"/>
        <w:ind w:firstLine="709"/>
        <w:jc w:val="both"/>
        <w:rPr>
          <w:rFonts w:ascii="Times New Roman" w:hAnsi="Times New Roman"/>
          <w:noProof/>
          <w:sz w:val="30"/>
          <w:szCs w:val="30"/>
          <w:lang w:eastAsia="ru-RU"/>
        </w:rPr>
      </w:pPr>
      <w:r w:rsidRPr="008D1192">
        <w:rPr>
          <w:rFonts w:ascii="Times New Roman" w:hAnsi="Times New Roman"/>
          <w:sz w:val="30"/>
          <w:szCs w:val="30"/>
        </w:rPr>
        <w:t>В соответствии с ним Негорелое стало пограничной станцией между СССР и Польшей.</w:t>
      </w:r>
      <w:r w:rsidRPr="008D1192">
        <w:rPr>
          <w:rFonts w:ascii="Times New Roman" w:hAnsi="Times New Roman"/>
          <w:noProof/>
          <w:sz w:val="30"/>
          <w:szCs w:val="30"/>
          <w:lang w:eastAsia="ru-RU"/>
        </w:rPr>
        <w:t xml:space="preserve"> </w:t>
      </w:r>
    </w:p>
    <w:p w:rsidR="00636F8B" w:rsidRDefault="00032D13" w:rsidP="00090E50">
      <w:r>
        <w:rPr>
          <w:rFonts w:ascii="Times New Roman" w:hAnsi="Times New Roman"/>
          <w:noProof/>
          <w:sz w:val="30"/>
          <w:szCs w:val="30"/>
          <w:lang w:eastAsia="ru-RU"/>
        </w:rPr>
        <w:pict>
          <v:shapetype id="_x0000_t202" coordsize="21600,21600" o:spt="202" path="m,l,21600r21600,l21600,xe">
            <v:stroke joinstyle="miter"/>
            <v:path gradientshapeok="t" o:connecttype="rect"/>
          </v:shapetype>
          <v:shape id="_x0000_s1026" type="#_x0000_t202" style="position:absolute;margin-left:-6pt;margin-top:646.35pt;width:254.25pt;height:75.7pt;z-index:-251656192;mso-position-horizontal-relative:margin;mso-position-vertical-relative:margin;mso-width-relative:margin;v-text-anchor:middle" o:allowincell="f" fillcolor="white [3201]" strokecolor="#943634 [2405]" strokeweight="2.5pt">
            <v:shadow color="#868686"/>
            <v:textbox style="mso-next-textbox:#_x0000_s1026" inset="10.8pt,7.2pt,10.8pt,7.2pt">
              <w:txbxContent>
                <w:p w:rsidR="00090E50" w:rsidRDefault="00090E50" w:rsidP="00090E50">
                  <w:pPr>
                    <w:spacing w:after="0" w:line="240" w:lineRule="auto"/>
                    <w:jc w:val="center"/>
                    <w:rPr>
                      <w:rFonts w:ascii="Times New Roman" w:eastAsia="Times New Roman" w:hAnsi="Times New Roman"/>
                      <w:b/>
                      <w:i/>
                      <w:iCs/>
                      <w:sz w:val="28"/>
                      <w:szCs w:val="28"/>
                    </w:rPr>
                  </w:pPr>
                  <w:r w:rsidRPr="006436BB">
                    <w:rPr>
                      <w:rFonts w:ascii="Times New Roman" w:eastAsia="Times New Roman" w:hAnsi="Times New Roman"/>
                      <w:b/>
                      <w:i/>
                      <w:iCs/>
                      <w:sz w:val="28"/>
                      <w:szCs w:val="28"/>
                    </w:rPr>
                    <w:t xml:space="preserve">Восточная Европа </w:t>
                  </w:r>
                </w:p>
                <w:p w:rsidR="00090E50" w:rsidRPr="00986424" w:rsidRDefault="00090E50" w:rsidP="00090E50">
                  <w:pPr>
                    <w:spacing w:after="0" w:line="240" w:lineRule="auto"/>
                    <w:jc w:val="center"/>
                    <w:rPr>
                      <w:szCs w:val="28"/>
                    </w:rPr>
                  </w:pPr>
                  <w:r w:rsidRPr="006436BB">
                    <w:rPr>
                      <w:rFonts w:ascii="Times New Roman" w:eastAsia="Times New Roman" w:hAnsi="Times New Roman"/>
                      <w:b/>
                      <w:i/>
                      <w:iCs/>
                      <w:sz w:val="28"/>
                      <w:szCs w:val="28"/>
                    </w:rPr>
                    <w:t>после Рижского мира</w:t>
                  </w:r>
                </w:p>
              </w:txbxContent>
            </v:textbox>
            <w10:wrap type="square" anchorx="margin" anchory="margin"/>
          </v:shape>
        </w:pict>
      </w:r>
    </w:p>
    <w:p w:rsidR="00090E50" w:rsidRDefault="00090E50" w:rsidP="00090E50"/>
    <w:p w:rsidR="00090E50" w:rsidRDefault="00090E50" w:rsidP="00090E50"/>
    <w:p w:rsidR="00090E50" w:rsidRPr="008D1192" w:rsidRDefault="00090E50" w:rsidP="00090E50">
      <w:pPr>
        <w:spacing w:after="0" w:line="240" w:lineRule="auto"/>
        <w:ind w:firstLine="709"/>
        <w:jc w:val="both"/>
        <w:rPr>
          <w:rFonts w:ascii="Times New Roman" w:hAnsi="Times New Roman"/>
          <w:sz w:val="30"/>
          <w:szCs w:val="30"/>
        </w:rPr>
      </w:pPr>
      <w:r>
        <w:rPr>
          <w:rFonts w:ascii="Times New Roman" w:hAnsi="Times New Roman"/>
          <w:noProof/>
          <w:sz w:val="30"/>
          <w:szCs w:val="30"/>
          <w:lang w:eastAsia="ru-RU"/>
        </w:rPr>
        <w:drawing>
          <wp:anchor distT="0" distB="0" distL="114300" distR="114300" simplePos="0" relativeHeight="251663360" behindDoc="1" locked="0" layoutInCell="1" allowOverlap="1">
            <wp:simplePos x="0" y="0"/>
            <wp:positionH relativeFrom="margin">
              <wp:posOffset>3482340</wp:posOffset>
            </wp:positionH>
            <wp:positionV relativeFrom="margin">
              <wp:posOffset>33655</wp:posOffset>
            </wp:positionV>
            <wp:extent cx="2398395" cy="2743200"/>
            <wp:effectExtent l="266700" t="228600" r="268605" b="209550"/>
            <wp:wrapSquare wrapText="bothSides"/>
            <wp:docPr id="83" name="Рисунок 17" descr="F:\Работа\100 дорог\фото\пог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Работа\100 дорог\фото\погр.jpg"/>
                    <pic:cNvPicPr>
                      <a:picLocks noChangeAspect="1" noChangeArrowheads="1"/>
                    </pic:cNvPicPr>
                  </pic:nvPicPr>
                  <pic:blipFill>
                    <a:blip r:embed="rId9" cstate="print"/>
                    <a:srcRect/>
                    <a:stretch>
                      <a:fillRect/>
                    </a:stretch>
                  </pic:blipFill>
                  <pic:spPr bwMode="auto">
                    <a:xfrm>
                      <a:off x="0" y="0"/>
                      <a:ext cx="2398395" cy="2743200"/>
                    </a:xfrm>
                    <a:prstGeom prst="round2DiagRect">
                      <a:avLst>
                        <a:gd name="adj1" fmla="val 16667"/>
                        <a:gd name="adj2" fmla="val 0"/>
                      </a:avLst>
                    </a:prstGeom>
                    <a:ln w="381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Pr="008D1192">
        <w:rPr>
          <w:rFonts w:ascii="Times New Roman" w:hAnsi="Times New Roman"/>
          <w:sz w:val="30"/>
          <w:szCs w:val="30"/>
        </w:rPr>
        <w:t>Охрану советско-польской границы осуществлял 1 пограничный полк. В начале 1925 года в состав 7 погранотряда вошел пограничный пункт Негорелое, где находилась и таможня.</w:t>
      </w:r>
    </w:p>
    <w:p w:rsidR="00090E50" w:rsidRPr="008D1192" w:rsidRDefault="00032D13" w:rsidP="00090E50">
      <w:pPr>
        <w:spacing w:after="0" w:line="240" w:lineRule="auto"/>
        <w:ind w:firstLine="709"/>
        <w:jc w:val="both"/>
        <w:rPr>
          <w:rFonts w:ascii="Times New Roman" w:hAnsi="Times New Roman"/>
          <w:sz w:val="30"/>
          <w:szCs w:val="30"/>
        </w:rPr>
      </w:pPr>
      <w:r>
        <w:rPr>
          <w:rFonts w:ascii="Times New Roman" w:hAnsi="Times New Roman"/>
          <w:noProof/>
          <w:sz w:val="30"/>
          <w:szCs w:val="30"/>
          <w:lang w:eastAsia="ru-RU"/>
        </w:rPr>
        <w:pict>
          <v:shape id="_x0000_s1027" type="#_x0000_t202" style="position:absolute;left:0;text-align:left;margin-left:264pt;margin-top:232.15pt;width:210.2pt;height:36.5pt;z-index:251664384;mso-position-horizontal-relative:margin;mso-position-vertical-relative:margin;mso-width-relative:margin;v-text-anchor:middle" o:allowincell="f" fillcolor="white [3201]" strokecolor="#943634 [2405]" strokeweight="2.5pt">
            <v:shadow color="#868686"/>
            <v:textbox style="mso-next-textbox:#_x0000_s1027" inset="10.8pt,7.2pt,10.8pt,7.2pt">
              <w:txbxContent>
                <w:p w:rsidR="00090E50" w:rsidRPr="006436BB" w:rsidRDefault="00090E50" w:rsidP="00090E50">
                  <w:pPr>
                    <w:spacing w:after="0" w:line="240" w:lineRule="auto"/>
                    <w:jc w:val="center"/>
                    <w:rPr>
                      <w:rFonts w:ascii="Times New Roman" w:eastAsia="Times New Roman" w:hAnsi="Times New Roman"/>
                      <w:b/>
                      <w:i/>
                      <w:iCs/>
                      <w:sz w:val="28"/>
                      <w:szCs w:val="28"/>
                    </w:rPr>
                  </w:pPr>
                  <w:r w:rsidRPr="006436BB">
                    <w:rPr>
                      <w:rFonts w:ascii="Times New Roman" w:eastAsia="Times New Roman" w:hAnsi="Times New Roman"/>
                      <w:b/>
                      <w:i/>
                      <w:iCs/>
                      <w:sz w:val="28"/>
                      <w:szCs w:val="28"/>
                    </w:rPr>
                    <w:t>7-ой погранотряд</w:t>
                  </w:r>
                </w:p>
              </w:txbxContent>
            </v:textbox>
            <w10:wrap type="square" anchorx="margin" anchory="margin"/>
          </v:shape>
        </w:pict>
      </w:r>
      <w:r w:rsidR="00090E50">
        <w:rPr>
          <w:rFonts w:ascii="Times New Roman" w:hAnsi="Times New Roman"/>
          <w:noProof/>
          <w:sz w:val="30"/>
          <w:szCs w:val="30"/>
          <w:lang w:eastAsia="ru-RU"/>
        </w:rPr>
        <w:drawing>
          <wp:anchor distT="0" distB="0" distL="114300" distR="114300" simplePos="0" relativeHeight="251665408" behindDoc="1" locked="0" layoutInCell="1" allowOverlap="1">
            <wp:simplePos x="0" y="0"/>
            <wp:positionH relativeFrom="margin">
              <wp:posOffset>434340</wp:posOffset>
            </wp:positionH>
            <wp:positionV relativeFrom="margin">
              <wp:posOffset>3319780</wp:posOffset>
            </wp:positionV>
            <wp:extent cx="2276475" cy="4781550"/>
            <wp:effectExtent l="266700" t="228600" r="276225" b="209550"/>
            <wp:wrapSquare wrapText="bothSides"/>
            <wp:docPr id="6" name="Рисунок 50" descr="MIU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URMap"/>
                    <pic:cNvPicPr>
                      <a:picLocks noChangeAspect="1" noChangeArrowheads="1"/>
                    </pic:cNvPicPr>
                  </pic:nvPicPr>
                  <pic:blipFill>
                    <a:blip r:embed="rId10" cstate="print"/>
                    <a:srcRect/>
                    <a:stretch>
                      <a:fillRect/>
                    </a:stretch>
                  </pic:blipFill>
                  <pic:spPr bwMode="auto">
                    <a:xfrm>
                      <a:off x="0" y="0"/>
                      <a:ext cx="2276475" cy="4781550"/>
                    </a:xfrm>
                    <a:prstGeom prst="round2DiagRect">
                      <a:avLst>
                        <a:gd name="adj1" fmla="val 16667"/>
                        <a:gd name="adj2" fmla="val 0"/>
                      </a:avLst>
                    </a:prstGeom>
                    <a:ln w="381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00090E50" w:rsidRPr="008D1192">
        <w:rPr>
          <w:rFonts w:ascii="Times New Roman" w:hAnsi="Times New Roman"/>
          <w:sz w:val="30"/>
          <w:szCs w:val="30"/>
        </w:rPr>
        <w:t>Укреплённый райо́н (аббревиатура УР или сокращённо укрепрайон), имеет следующие значения: район (территория) местности оборудованный в инженерном отношении для обороны, линия обороны в виде узлов сопротивления долговременных укрепленных позиций, находящихся во взаимодействии и образующих общую группу (десятки километров сложнейших инженерных сооружений, различных заграждений, управляемых и неуправляемых минных полей).</w:t>
      </w:r>
      <w:r w:rsidR="00090E50" w:rsidRPr="00B5627E">
        <w:rPr>
          <w:noProof/>
          <w:sz w:val="30"/>
          <w:szCs w:val="30"/>
          <w:lang w:eastAsia="ru-RU"/>
        </w:rPr>
        <w:t xml:space="preserve"> </w:t>
      </w:r>
    </w:p>
    <w:p w:rsidR="00090E50" w:rsidRPr="008D1192" w:rsidRDefault="00032D13" w:rsidP="00090E50">
      <w:pPr>
        <w:spacing w:after="0" w:line="240" w:lineRule="auto"/>
        <w:ind w:firstLine="709"/>
        <w:jc w:val="both"/>
        <w:rPr>
          <w:rFonts w:ascii="Times New Roman" w:hAnsi="Times New Roman"/>
          <w:sz w:val="30"/>
          <w:szCs w:val="30"/>
        </w:rPr>
      </w:pPr>
      <w:r>
        <w:rPr>
          <w:rFonts w:ascii="Times New Roman" w:hAnsi="Times New Roman"/>
          <w:noProof/>
          <w:sz w:val="30"/>
          <w:szCs w:val="30"/>
          <w:lang w:eastAsia="ru-RU"/>
        </w:rPr>
        <w:pict>
          <v:shape id="_x0000_s1028" type="#_x0000_t202" style="position:absolute;left:0;text-align:left;margin-left:18.05pt;margin-top:663.2pt;width:212.65pt;height:44.85pt;z-index:-251650048;mso-position-horizontal-relative:margin;mso-position-vertical-relative:margin;mso-width-relative:margin;v-text-anchor:middle" o:allowincell="f" fillcolor="white [3201]" strokecolor="#943634 [2405]" strokeweight="2.5pt">
            <v:shadow color="#868686"/>
            <v:textbox style="mso-next-textbox:#_x0000_s1028" inset="10.8pt,7.2pt,10.8pt,7.2pt">
              <w:txbxContent>
                <w:p w:rsidR="00090E50" w:rsidRPr="006436BB" w:rsidRDefault="00090E50" w:rsidP="00090E50">
                  <w:pPr>
                    <w:spacing w:after="0" w:line="240" w:lineRule="auto"/>
                    <w:jc w:val="center"/>
                    <w:rPr>
                      <w:rFonts w:ascii="Times New Roman" w:eastAsia="Times New Roman" w:hAnsi="Times New Roman"/>
                      <w:b/>
                      <w:i/>
                      <w:iCs/>
                      <w:sz w:val="28"/>
                      <w:szCs w:val="28"/>
                    </w:rPr>
                  </w:pPr>
                  <w:r>
                    <w:rPr>
                      <w:rFonts w:ascii="Times New Roman" w:eastAsia="Times New Roman" w:hAnsi="Times New Roman"/>
                      <w:b/>
                      <w:i/>
                      <w:iCs/>
                      <w:sz w:val="28"/>
                      <w:szCs w:val="28"/>
                    </w:rPr>
                    <w:t>Минский укрепрайон</w:t>
                  </w:r>
                </w:p>
              </w:txbxContent>
            </v:textbox>
            <w10:wrap type="square" anchorx="margin" anchory="margin"/>
          </v:shape>
        </w:pict>
      </w:r>
      <w:r w:rsidR="00090E50" w:rsidRPr="008D1192">
        <w:rPr>
          <w:rFonts w:ascii="Times New Roman" w:hAnsi="Times New Roman"/>
          <w:sz w:val="30"/>
          <w:szCs w:val="30"/>
        </w:rPr>
        <w:t xml:space="preserve">На основании приказа № 90 Реввоенсовета СССР, 19 марта 1928 г., по программе фортификационной подготовки границ государства к войне, на важнейших операционных направлениях, ведущих в глубь территории страны, в 1928 г., началось строительство первых тринадцати УРов, получалась линия обороны которая в годы войны, в материалах немецко-фашистской пропаганды получила название «Линия Сталина». </w:t>
      </w:r>
    </w:p>
    <w:p w:rsidR="00090E50" w:rsidRDefault="00090E50" w:rsidP="00090E50"/>
    <w:p w:rsidR="00090E50" w:rsidRDefault="00090E50" w:rsidP="00090E50"/>
    <w:p w:rsidR="00090E50" w:rsidRPr="00B5627E" w:rsidRDefault="00032D13" w:rsidP="00E40FEE">
      <w:pPr>
        <w:spacing w:after="0" w:line="240" w:lineRule="auto"/>
        <w:jc w:val="both"/>
        <w:rPr>
          <w:rFonts w:ascii="Times New Roman" w:hAnsi="Times New Roman"/>
          <w:sz w:val="30"/>
          <w:szCs w:val="30"/>
        </w:rPr>
      </w:pPr>
      <w:r>
        <w:rPr>
          <w:rFonts w:ascii="Times New Roman" w:hAnsi="Times New Roman"/>
          <w:b/>
          <w:i/>
          <w:noProof/>
          <w:sz w:val="30"/>
          <w:szCs w:val="30"/>
          <w:lang w:eastAsia="ru-RU"/>
        </w:rPr>
        <w:pict>
          <v:shape id="_x0000_s1030" type="#_x0000_t202" style="position:absolute;left:0;text-align:left;margin-left:316.95pt;margin-top:215.65pt;width:157.95pt;height:36.5pt;z-index:251671552;mso-position-horizontal-relative:margin;mso-position-vertical-relative:margin;mso-width-relative:margin;v-text-anchor:middle" o:allowincell="f" fillcolor="white [3201]" strokecolor="#943634 [2405]" strokeweight="2.5pt">
            <v:shadow color="#868686"/>
            <v:textbox style="mso-next-textbox:#_x0000_s1030" inset="10.8pt,7.2pt,10.8pt,7.2pt">
              <w:txbxContent>
                <w:p w:rsidR="00090E50" w:rsidRPr="000A542E" w:rsidRDefault="00090E50" w:rsidP="00090E50">
                  <w:pPr>
                    <w:jc w:val="center"/>
                    <w:rPr>
                      <w:b/>
                      <w:i/>
                      <w:szCs w:val="28"/>
                    </w:rPr>
                  </w:pPr>
                  <w:r w:rsidRPr="000A542E">
                    <w:rPr>
                      <w:rFonts w:ascii="Times New Roman" w:hAnsi="Times New Roman"/>
                      <w:b/>
                      <w:i/>
                      <w:sz w:val="30"/>
                      <w:szCs w:val="30"/>
                    </w:rPr>
                    <w:t>И.П. Уборевич</w:t>
                  </w:r>
                </w:p>
              </w:txbxContent>
            </v:textbox>
            <w10:wrap type="square" anchorx="margin" anchory="margin"/>
          </v:shape>
        </w:pict>
      </w:r>
      <w:r w:rsidR="00090E50" w:rsidRPr="00E40FEE">
        <w:rPr>
          <w:rFonts w:ascii="Times New Roman" w:hAnsi="Times New Roman"/>
          <w:b/>
          <w:i/>
          <w:noProof/>
          <w:sz w:val="30"/>
          <w:szCs w:val="30"/>
          <w:lang w:eastAsia="ru-RU"/>
        </w:rPr>
        <w:drawing>
          <wp:anchor distT="0" distB="0" distL="114300" distR="114300" simplePos="0" relativeHeight="251668480" behindDoc="1" locked="0" layoutInCell="1" allowOverlap="1">
            <wp:simplePos x="0" y="0"/>
            <wp:positionH relativeFrom="margin">
              <wp:posOffset>4149090</wp:posOffset>
            </wp:positionH>
            <wp:positionV relativeFrom="margin">
              <wp:posOffset>157480</wp:posOffset>
            </wp:positionV>
            <wp:extent cx="1771650" cy="2370455"/>
            <wp:effectExtent l="266700" t="228600" r="247650" b="182245"/>
            <wp:wrapSquare wrapText="bothSides"/>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11" cstate="print"/>
                    <a:srcRect/>
                    <a:stretch>
                      <a:fillRect/>
                    </a:stretch>
                  </pic:blipFill>
                  <pic:spPr bwMode="auto">
                    <a:xfrm>
                      <a:off x="0" y="0"/>
                      <a:ext cx="1771650" cy="2370455"/>
                    </a:xfrm>
                    <a:prstGeom prst="round2DiagRect">
                      <a:avLst>
                        <a:gd name="adj1" fmla="val 16667"/>
                        <a:gd name="adj2" fmla="val 0"/>
                      </a:avLst>
                    </a:prstGeom>
                    <a:ln w="381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00E40FEE" w:rsidRPr="00E40FEE">
        <w:rPr>
          <w:rFonts w:ascii="Times New Roman" w:hAnsi="Times New Roman"/>
          <w:b/>
          <w:i/>
          <w:sz w:val="30"/>
          <w:szCs w:val="30"/>
        </w:rPr>
        <w:t>Кохович Алеся:</w:t>
      </w:r>
      <w:r w:rsidR="00E40FEE">
        <w:rPr>
          <w:rFonts w:ascii="Times New Roman" w:hAnsi="Times New Roman"/>
          <w:sz w:val="30"/>
          <w:szCs w:val="30"/>
        </w:rPr>
        <w:t xml:space="preserve"> </w:t>
      </w:r>
      <w:r w:rsidR="00090E50" w:rsidRPr="00B5627E">
        <w:rPr>
          <w:rFonts w:ascii="Times New Roman" w:hAnsi="Times New Roman"/>
          <w:sz w:val="30"/>
          <w:szCs w:val="30"/>
        </w:rPr>
        <w:t xml:space="preserve">Начало строительства на территории Беларуси относится к 1932 году. Строительство курировали М.Н. Тухачевский, командующий войсками БВО И.П. Уборевич, начальник управления боевой подготовки РККА А.Н. Седякин. Гранит для постройки добывали на Украине, арматуру, сталь, поставляли заводы Урала, капонирные обтюраторы, амбразурные заслонки и пр. – отливали в Ленинграде. Работы осуществлялись наемными рабочими, нанимаемыми из местного населения. С целью укрепления военных строек БВО были специально отмобилизованы 200 коммунистов и 500 комсомольцев. Личный контроль за ходом строительства осуществляли члены ЦК КПБ Б.А. Гикало, Н.Н. Голодед, А.Г. Червяков. Бетонные работы в целом закончены в 1934 году. Укомплектование оружием и оборудованием с перерывами велось вплоть до начала войны. </w:t>
      </w:r>
    </w:p>
    <w:p w:rsidR="00090E50" w:rsidRPr="00B5627E" w:rsidRDefault="00090E50" w:rsidP="00090E50">
      <w:pPr>
        <w:spacing w:after="0" w:line="240" w:lineRule="auto"/>
        <w:ind w:firstLine="709"/>
        <w:rPr>
          <w:rFonts w:ascii="Times New Roman" w:hAnsi="Times New Roman"/>
          <w:sz w:val="30"/>
          <w:szCs w:val="30"/>
        </w:rPr>
      </w:pPr>
      <w:r>
        <w:rPr>
          <w:rFonts w:ascii="Times New Roman" w:hAnsi="Times New Roman"/>
          <w:noProof/>
          <w:sz w:val="30"/>
          <w:szCs w:val="30"/>
          <w:lang w:eastAsia="ru-RU"/>
        </w:rPr>
        <w:drawing>
          <wp:anchor distT="0" distB="0" distL="114300" distR="114300" simplePos="0" relativeHeight="251669504" behindDoc="1" locked="0" layoutInCell="1" allowOverlap="1">
            <wp:simplePos x="0" y="0"/>
            <wp:positionH relativeFrom="margin">
              <wp:posOffset>-633095</wp:posOffset>
            </wp:positionH>
            <wp:positionV relativeFrom="margin">
              <wp:posOffset>5150485</wp:posOffset>
            </wp:positionV>
            <wp:extent cx="3954145" cy="2864485"/>
            <wp:effectExtent l="266700" t="228600" r="274955" b="202565"/>
            <wp:wrapTight wrapText="bothSides">
              <wp:wrapPolygon edited="0">
                <wp:start x="3122" y="-1724"/>
                <wp:lineTo x="1665" y="-1724"/>
                <wp:lineTo x="-728" y="-287"/>
                <wp:lineTo x="-728" y="575"/>
                <wp:lineTo x="-1145" y="2011"/>
                <wp:lineTo x="-1457" y="21835"/>
                <wp:lineTo x="-312" y="23127"/>
                <wp:lineTo x="208" y="23127"/>
                <wp:lineTo x="19252" y="23127"/>
                <wp:lineTo x="20084" y="23127"/>
                <wp:lineTo x="22165" y="21835"/>
                <wp:lineTo x="22061" y="21260"/>
                <wp:lineTo x="22165" y="21260"/>
                <wp:lineTo x="22894" y="19105"/>
                <wp:lineTo x="22894" y="18962"/>
                <wp:lineTo x="22998" y="16807"/>
                <wp:lineTo x="22998" y="718"/>
                <wp:lineTo x="23102" y="-287"/>
                <wp:lineTo x="21853" y="-1724"/>
                <wp:lineTo x="20917" y="-1724"/>
                <wp:lineTo x="3122" y="-1724"/>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cstate="print"/>
                    <a:srcRect/>
                    <a:stretch>
                      <a:fillRect/>
                    </a:stretch>
                  </pic:blipFill>
                  <pic:spPr bwMode="auto">
                    <a:xfrm>
                      <a:off x="0" y="0"/>
                      <a:ext cx="3954145" cy="2864485"/>
                    </a:xfrm>
                    <a:prstGeom prst="round2DiagRect">
                      <a:avLst>
                        <a:gd name="adj1" fmla="val 16667"/>
                        <a:gd name="adj2" fmla="val 0"/>
                      </a:avLst>
                    </a:prstGeom>
                    <a:ln w="381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Pr="00B5627E">
        <w:rPr>
          <w:rFonts w:ascii="Times New Roman" w:hAnsi="Times New Roman"/>
          <w:sz w:val="30"/>
          <w:szCs w:val="30"/>
        </w:rPr>
        <w:t>В 1936 году разрабатывался план постройки второй очереди УРа, но осуществлен не был. К началу 1936 года УР включал 242 пулеметные огневые точки (одно-, двух- и трехамбразурные), 9 сооружений противотанковой обороны (с башнями Т-26), 16 орудийных полукапониров (ОРПК) на два 76,2-мм орудия образца 1902 года и один орудийный капонир (ОРК) на четыре таких же 76,2-мм орудия.</w:t>
      </w:r>
    </w:p>
    <w:p w:rsidR="00090E50" w:rsidRDefault="00032D13" w:rsidP="00090E50">
      <w:r>
        <w:rPr>
          <w:rFonts w:ascii="Times New Roman" w:hAnsi="Times New Roman"/>
          <w:noProof/>
          <w:sz w:val="30"/>
          <w:szCs w:val="30"/>
          <w:lang w:eastAsia="ru-RU"/>
        </w:rPr>
        <w:pict>
          <v:shape id="_x0000_s1029" type="#_x0000_t202" style="position:absolute;margin-left:-13.5pt;margin-top:672.4pt;width:290.15pt;height:37.55pt;z-index:-251645952;mso-position-horizontal-relative:margin;mso-position-vertical-relative:margin;mso-width-relative:margin;v-text-anchor:middle" o:allowincell="f" fillcolor="white [3201]" strokecolor="#943634 [2405]" strokeweight="2.5pt">
            <v:shadow color="#868686"/>
            <v:textbox style="mso-next-textbox:#_x0000_s1029" inset="10.8pt,7.2pt,10.8pt,7.2pt">
              <w:txbxContent>
                <w:p w:rsidR="00090E50" w:rsidRPr="006436BB" w:rsidRDefault="00090E50" w:rsidP="00090E50">
                  <w:pPr>
                    <w:spacing w:after="0" w:line="240" w:lineRule="auto"/>
                    <w:jc w:val="center"/>
                    <w:rPr>
                      <w:rFonts w:ascii="Times New Roman" w:eastAsia="Times New Roman" w:hAnsi="Times New Roman"/>
                      <w:b/>
                      <w:i/>
                      <w:iCs/>
                      <w:sz w:val="28"/>
                      <w:szCs w:val="28"/>
                    </w:rPr>
                  </w:pPr>
                  <w:r>
                    <w:rPr>
                      <w:rFonts w:ascii="Times New Roman" w:eastAsia="Times New Roman" w:hAnsi="Times New Roman"/>
                      <w:b/>
                      <w:i/>
                      <w:iCs/>
                      <w:sz w:val="28"/>
                      <w:szCs w:val="28"/>
                    </w:rPr>
                    <w:t>Строительство укреплений</w:t>
                  </w:r>
                </w:p>
              </w:txbxContent>
            </v:textbox>
            <w10:wrap type="square" anchorx="margin" anchory="margin"/>
          </v:shape>
        </w:pict>
      </w:r>
    </w:p>
    <w:p w:rsidR="00090E50" w:rsidRPr="00B5627E" w:rsidRDefault="00090E50" w:rsidP="00E40FEE">
      <w:pPr>
        <w:spacing w:after="0" w:line="240" w:lineRule="auto"/>
        <w:ind w:firstLine="709"/>
        <w:jc w:val="both"/>
        <w:rPr>
          <w:rFonts w:ascii="Times New Roman" w:hAnsi="Times New Roman"/>
          <w:sz w:val="30"/>
          <w:szCs w:val="30"/>
        </w:rPr>
      </w:pPr>
      <w:r w:rsidRPr="00E40FEE">
        <w:rPr>
          <w:rFonts w:ascii="Times New Roman" w:hAnsi="Times New Roman"/>
          <w:b/>
          <w:i/>
          <w:noProof/>
          <w:sz w:val="30"/>
          <w:szCs w:val="30"/>
          <w:lang w:eastAsia="ru-RU"/>
        </w:rPr>
        <w:lastRenderedPageBreak/>
        <w:drawing>
          <wp:anchor distT="0" distB="0" distL="114300" distR="114300" simplePos="0" relativeHeight="251674624" behindDoc="0" locked="0" layoutInCell="1" allowOverlap="1">
            <wp:simplePos x="0" y="0"/>
            <wp:positionH relativeFrom="margin">
              <wp:posOffset>2606040</wp:posOffset>
            </wp:positionH>
            <wp:positionV relativeFrom="margin">
              <wp:posOffset>3453130</wp:posOffset>
            </wp:positionV>
            <wp:extent cx="3168015" cy="4592320"/>
            <wp:effectExtent l="247650" t="228600" r="241935" b="189230"/>
            <wp:wrapSquare wrapText="bothSides"/>
            <wp:docPr id="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3168015" cy="4592320"/>
                    </a:xfrm>
                    <a:prstGeom prst="round2DiagRect">
                      <a:avLst>
                        <a:gd name="adj1" fmla="val 16667"/>
                        <a:gd name="adj2" fmla="val 0"/>
                      </a:avLst>
                    </a:prstGeom>
                    <a:ln w="381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00032D13">
        <w:rPr>
          <w:rFonts w:ascii="Times New Roman" w:hAnsi="Times New Roman"/>
          <w:b/>
          <w:i/>
          <w:noProof/>
          <w:sz w:val="30"/>
          <w:szCs w:val="30"/>
          <w:lang w:eastAsia="ru-RU"/>
        </w:rPr>
        <w:pict>
          <v:shape id="_x0000_s1031" type="#_x0000_t202" style="position:absolute;left:0;text-align:left;margin-left:-11.4pt;margin-top:308.65pt;width:190pt;height:66.8pt;z-index:-251640832;mso-position-horizontal-relative:margin;mso-position-vertical-relative:margin;mso-width-relative:margin;v-text-anchor:middle" o:allowincell="f" fillcolor="white [3201]" strokecolor="#943634 [2405]" strokeweight="2.5pt">
            <v:shadow color="#868686"/>
            <v:textbox style="mso-next-textbox:#_x0000_s1031" inset="10.8pt,7.2pt,10.8pt,7.2pt">
              <w:txbxContent>
                <w:p w:rsidR="00090E50" w:rsidRPr="00010EEF" w:rsidRDefault="00090E50" w:rsidP="00090E50">
                  <w:pPr>
                    <w:spacing w:after="0" w:line="240" w:lineRule="auto"/>
                    <w:jc w:val="center"/>
                    <w:rPr>
                      <w:rFonts w:ascii="Times New Roman" w:eastAsia="Times New Roman" w:hAnsi="Times New Roman"/>
                      <w:b/>
                      <w:i/>
                      <w:iCs/>
                      <w:sz w:val="28"/>
                      <w:szCs w:val="28"/>
                    </w:rPr>
                  </w:pPr>
                  <w:r>
                    <w:rPr>
                      <w:rFonts w:ascii="Times New Roman" w:hAnsi="Times New Roman"/>
                      <w:b/>
                      <w:i/>
                      <w:sz w:val="28"/>
                      <w:szCs w:val="28"/>
                    </w:rPr>
                    <w:t>Оборудование для очистки воздуха от пороховых газов</w:t>
                  </w:r>
                  <w:r w:rsidRPr="00010EEF">
                    <w:rPr>
                      <w:rFonts w:ascii="Times New Roman" w:hAnsi="Times New Roman"/>
                      <w:b/>
                      <w:i/>
                      <w:sz w:val="28"/>
                      <w:szCs w:val="28"/>
                    </w:rPr>
                    <w:t>)</w:t>
                  </w:r>
                </w:p>
              </w:txbxContent>
            </v:textbox>
            <w10:wrap type="square" anchorx="margin" anchory="margin"/>
          </v:shape>
        </w:pict>
      </w:r>
      <w:r w:rsidRPr="00E40FEE">
        <w:rPr>
          <w:rFonts w:ascii="Times New Roman" w:hAnsi="Times New Roman"/>
          <w:b/>
          <w:i/>
          <w:noProof/>
          <w:sz w:val="30"/>
          <w:szCs w:val="30"/>
          <w:lang w:eastAsia="ru-RU"/>
        </w:rPr>
        <w:drawing>
          <wp:anchor distT="0" distB="0" distL="114300" distR="114300" simplePos="0" relativeHeight="251673600" behindDoc="0" locked="0" layoutInCell="1" allowOverlap="1">
            <wp:simplePos x="0" y="0"/>
            <wp:positionH relativeFrom="margin">
              <wp:posOffset>-3810</wp:posOffset>
            </wp:positionH>
            <wp:positionV relativeFrom="margin">
              <wp:posOffset>157480</wp:posOffset>
            </wp:positionV>
            <wp:extent cx="1935480" cy="3448050"/>
            <wp:effectExtent l="266700" t="228600" r="255270" b="19050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1935480" cy="3448050"/>
                    </a:xfrm>
                    <a:prstGeom prst="round2DiagRect">
                      <a:avLst>
                        <a:gd name="adj1" fmla="val 16667"/>
                        <a:gd name="adj2" fmla="val 0"/>
                      </a:avLst>
                    </a:prstGeom>
                    <a:ln w="381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00E40FEE" w:rsidRPr="00E40FEE">
        <w:rPr>
          <w:rFonts w:ascii="Times New Roman" w:hAnsi="Times New Roman"/>
          <w:b/>
          <w:i/>
          <w:sz w:val="30"/>
          <w:szCs w:val="30"/>
        </w:rPr>
        <w:t>Гручих Маргарита:</w:t>
      </w:r>
      <w:r w:rsidR="00E40FEE">
        <w:rPr>
          <w:rFonts w:ascii="Times New Roman" w:hAnsi="Times New Roman"/>
          <w:sz w:val="30"/>
          <w:szCs w:val="30"/>
        </w:rPr>
        <w:t xml:space="preserve"> </w:t>
      </w:r>
      <w:r w:rsidRPr="00B5627E">
        <w:rPr>
          <w:rFonts w:ascii="Times New Roman" w:hAnsi="Times New Roman"/>
          <w:sz w:val="30"/>
          <w:szCs w:val="30"/>
        </w:rPr>
        <w:t xml:space="preserve">Огневые точки были искусно вписаны в рельеф местности, тщательно замаскированы, засыпаны землей и соединены линиями связи. В подземных казематах находились системы жизнеобеспечения, средства противохимической защиты, склады боеприпасов и продовольствия, помещения для личного состава. Огневые точки вооружались пулеметами, скорострельными малокалиберными орудиями и были приспособлены к длительной автономной круговой обороне. Все это не только делало их неуязвимыми от огня тогдашних танковых орудий и пехотных минометов, но и позволяло успешно бороться с ними. Разумеется, что это же вооружение и оборудование делало огневые точки недоступными для пехотных атак и атак  химических. </w:t>
      </w:r>
    </w:p>
    <w:p w:rsidR="00090E50" w:rsidRDefault="00090E50" w:rsidP="00CB64A5"/>
    <w:p w:rsidR="00090E50" w:rsidRDefault="00090E50" w:rsidP="00090E50"/>
    <w:p w:rsidR="00090E50" w:rsidRDefault="00090E50" w:rsidP="00090E50"/>
    <w:p w:rsidR="00090E50" w:rsidRDefault="00090E50" w:rsidP="00090E50"/>
    <w:p w:rsidR="00090E50" w:rsidRDefault="00032D13" w:rsidP="00090E50">
      <w:r>
        <w:rPr>
          <w:rFonts w:ascii="Times New Roman" w:hAnsi="Times New Roman"/>
          <w:b/>
          <w:i/>
          <w:noProof/>
          <w:sz w:val="30"/>
          <w:szCs w:val="30"/>
          <w:lang w:eastAsia="ru-RU"/>
        </w:rPr>
        <w:pict>
          <v:shape id="_x0000_s1032" type="#_x0000_t202" style="position:absolute;margin-left:157.85pt;margin-top:670.55pt;width:237.3pt;height:54.8pt;z-index:-251639808;mso-position-horizontal-relative:margin;mso-position-vertical-relative:margin;mso-width-relative:margin;v-text-anchor:middle" o:allowincell="f" fillcolor="white [3201]" strokecolor="#943634 [2405]" strokeweight="2.5pt">
            <v:shadow color="#868686"/>
            <v:textbox style="mso-next-textbox:#_x0000_s1032" inset="10.8pt,7.2pt,10.8pt,7.2pt">
              <w:txbxContent>
                <w:p w:rsidR="00090E50" w:rsidRPr="00010EEF" w:rsidRDefault="00090E50" w:rsidP="00090E50">
                  <w:pPr>
                    <w:spacing w:after="0" w:line="240" w:lineRule="auto"/>
                    <w:jc w:val="center"/>
                    <w:rPr>
                      <w:rFonts w:ascii="Times New Roman" w:eastAsia="Times New Roman" w:hAnsi="Times New Roman"/>
                      <w:b/>
                      <w:i/>
                      <w:iCs/>
                      <w:sz w:val="28"/>
                      <w:szCs w:val="28"/>
                    </w:rPr>
                  </w:pPr>
                  <w:r w:rsidRPr="00010EEF">
                    <w:rPr>
                      <w:rFonts w:ascii="Times New Roman" w:hAnsi="Times New Roman"/>
                      <w:b/>
                      <w:i/>
                      <w:sz w:val="28"/>
                      <w:szCs w:val="28"/>
                    </w:rPr>
                    <w:t>Сооружение противотанковой обороны (с башнями Т-26)</w:t>
                  </w:r>
                </w:p>
              </w:txbxContent>
            </v:textbox>
            <w10:wrap type="square" anchorx="margin" anchory="margin"/>
          </v:shape>
        </w:pict>
      </w:r>
    </w:p>
    <w:p w:rsidR="00090E50" w:rsidRDefault="00090E50" w:rsidP="00090E50"/>
    <w:p w:rsidR="00090E50" w:rsidRPr="00B5627E" w:rsidRDefault="00032D13" w:rsidP="00090E50">
      <w:pPr>
        <w:spacing w:after="0" w:line="240" w:lineRule="auto"/>
        <w:ind w:firstLine="709"/>
        <w:jc w:val="both"/>
        <w:rPr>
          <w:rFonts w:ascii="Times New Roman" w:hAnsi="Times New Roman"/>
          <w:sz w:val="30"/>
          <w:szCs w:val="30"/>
        </w:rPr>
      </w:pPr>
      <w:r>
        <w:rPr>
          <w:noProof/>
          <w:sz w:val="30"/>
          <w:szCs w:val="30"/>
          <w:lang w:eastAsia="ru-RU"/>
        </w:rPr>
        <w:lastRenderedPageBreak/>
        <w:pict>
          <v:shape id="_x0000_s1033" type="#_x0000_t202" style="position:absolute;left:0;text-align:left;margin-left:221.7pt;margin-top:341.65pt;width:264pt;height:36.8pt;z-index:-251636736;mso-position-horizontal-relative:margin;mso-position-vertical-relative:margin;mso-width-relative:margin;v-text-anchor:middle" o:allowincell="f" fillcolor="white [3201]" strokecolor="#943634 [2405]" strokeweight="2.5pt">
            <v:shadow color="#868686"/>
            <v:textbox style="mso-next-textbox:#_x0000_s1033" inset="10.8pt,7.2pt,10.8pt,7.2pt">
              <w:txbxContent>
                <w:p w:rsidR="00090E50" w:rsidRPr="00010EEF" w:rsidRDefault="00090E50" w:rsidP="00090E50">
                  <w:pPr>
                    <w:spacing w:after="0" w:line="240" w:lineRule="auto"/>
                    <w:jc w:val="center"/>
                    <w:rPr>
                      <w:rFonts w:ascii="Times New Roman" w:eastAsia="Times New Roman" w:hAnsi="Times New Roman"/>
                      <w:b/>
                      <w:i/>
                      <w:iCs/>
                      <w:sz w:val="28"/>
                      <w:szCs w:val="28"/>
                    </w:rPr>
                  </w:pPr>
                  <w:r>
                    <w:rPr>
                      <w:rFonts w:ascii="Times New Roman" w:hAnsi="Times New Roman"/>
                      <w:b/>
                      <w:i/>
                      <w:sz w:val="28"/>
                      <w:szCs w:val="28"/>
                    </w:rPr>
                    <w:t>Долговременная огневая точка</w:t>
                  </w:r>
                </w:p>
              </w:txbxContent>
            </v:textbox>
            <w10:wrap type="square" anchorx="margin" anchory="margin"/>
          </v:shape>
        </w:pict>
      </w:r>
      <w:r w:rsidR="00090E50">
        <w:rPr>
          <w:rFonts w:ascii="Times New Roman" w:hAnsi="Times New Roman"/>
          <w:noProof/>
          <w:sz w:val="30"/>
          <w:szCs w:val="30"/>
          <w:lang w:eastAsia="ru-RU"/>
        </w:rPr>
        <w:drawing>
          <wp:anchor distT="0" distB="0" distL="114300" distR="114300" simplePos="0" relativeHeight="251678720" behindDoc="0" locked="0" layoutInCell="1" allowOverlap="1">
            <wp:simplePos x="0" y="0"/>
            <wp:positionH relativeFrom="margin">
              <wp:posOffset>2672715</wp:posOffset>
            </wp:positionH>
            <wp:positionV relativeFrom="margin">
              <wp:align>top</wp:align>
            </wp:positionV>
            <wp:extent cx="3197860" cy="3919220"/>
            <wp:effectExtent l="228600" t="228600" r="250190" b="19558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srcRect/>
                    <a:stretch>
                      <a:fillRect/>
                    </a:stretch>
                  </pic:blipFill>
                  <pic:spPr bwMode="auto">
                    <a:xfrm>
                      <a:off x="0" y="0"/>
                      <a:ext cx="3197860" cy="3919220"/>
                    </a:xfrm>
                    <a:prstGeom prst="round2DiagRect">
                      <a:avLst>
                        <a:gd name="adj1" fmla="val 16667"/>
                        <a:gd name="adj2" fmla="val 0"/>
                      </a:avLst>
                    </a:prstGeom>
                    <a:ln w="381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00090E50" w:rsidRPr="00B5627E">
        <w:rPr>
          <w:rFonts w:ascii="Times New Roman" w:hAnsi="Times New Roman"/>
          <w:sz w:val="30"/>
          <w:szCs w:val="30"/>
        </w:rPr>
        <w:t>Когда строились первые советские УРы, вероятным противником Красной Армии в Белоруссии считалась армия Польши: до 60 пехотных дивизий (из них 30 - кадровых) и несколько кавалерийских соединений - всего (после мобилизации) до двух миллионов человек. Эти войска не имели осадной тяжелой артиллерии; в составе польской армии было мало танков и самолетов. Исходя из этого, советские УРы в Белоруссии проектировались таким образом, чтобы оказывать сопротивление большим массам пехоты и кавалерии и противостоять обстрелам артиллерии калибра не свыше 203 мм. Поэтому основным вооружением фортификационных сооружений были пулеметы; орудий, в том числе противотанковых, было мало, а противовоздушное вооружение вообще не предусматривалось.</w:t>
      </w:r>
      <w:r w:rsidR="00090E50" w:rsidRPr="000A542E">
        <w:rPr>
          <w:rFonts w:ascii="Times New Roman" w:hAnsi="Times New Roman"/>
          <w:noProof/>
          <w:sz w:val="30"/>
          <w:szCs w:val="30"/>
          <w:lang w:eastAsia="ru-RU"/>
        </w:rPr>
        <w:t xml:space="preserve"> </w:t>
      </w:r>
    </w:p>
    <w:p w:rsidR="00090E50" w:rsidRPr="00B5627E" w:rsidRDefault="00090E50" w:rsidP="00090E50">
      <w:pPr>
        <w:spacing w:after="0" w:line="240" w:lineRule="auto"/>
        <w:ind w:firstLine="709"/>
        <w:jc w:val="both"/>
        <w:rPr>
          <w:rFonts w:ascii="Times New Roman" w:hAnsi="Times New Roman"/>
          <w:sz w:val="30"/>
          <w:szCs w:val="30"/>
        </w:rPr>
      </w:pPr>
      <w:r w:rsidRPr="00B5627E">
        <w:rPr>
          <w:rFonts w:ascii="Times New Roman" w:hAnsi="Times New Roman"/>
          <w:sz w:val="30"/>
          <w:szCs w:val="30"/>
        </w:rPr>
        <w:t xml:space="preserve">Бетонные работы были окончены в основном в 1934 году, однако работы по оборудованию сооружений столкнулись с серьезными трудностями. Несвоевременная поставка и непоставка оборудования и вооружения, низкое качество оборудования, низкая квалификация лиц, производивших его монтаж, привели к тому, что этот процесс так и не был завершен до начала войны. </w:t>
      </w:r>
    </w:p>
    <w:p w:rsidR="00090E50" w:rsidRPr="00B5627E" w:rsidRDefault="00E40FEE" w:rsidP="00090E50">
      <w:pPr>
        <w:spacing w:after="0" w:line="240" w:lineRule="auto"/>
        <w:ind w:firstLine="709"/>
        <w:jc w:val="both"/>
        <w:rPr>
          <w:rFonts w:ascii="Times New Roman" w:hAnsi="Times New Roman"/>
          <w:sz w:val="30"/>
          <w:szCs w:val="30"/>
        </w:rPr>
      </w:pPr>
      <w:r w:rsidRPr="00E40FEE">
        <w:rPr>
          <w:rFonts w:ascii="Times New Roman" w:hAnsi="Times New Roman"/>
          <w:b/>
          <w:i/>
          <w:sz w:val="30"/>
          <w:szCs w:val="30"/>
        </w:rPr>
        <w:t>Савошинский Артем:</w:t>
      </w:r>
      <w:r>
        <w:rPr>
          <w:rFonts w:ascii="Times New Roman" w:hAnsi="Times New Roman"/>
          <w:sz w:val="30"/>
          <w:szCs w:val="30"/>
        </w:rPr>
        <w:t xml:space="preserve"> </w:t>
      </w:r>
      <w:r w:rsidR="00090E50" w:rsidRPr="00B5627E">
        <w:rPr>
          <w:rFonts w:ascii="Times New Roman" w:hAnsi="Times New Roman"/>
          <w:sz w:val="30"/>
          <w:szCs w:val="30"/>
        </w:rPr>
        <w:t>До 1936 года гарнизон УРа мирного времени составляли 71-й, 83-й и 85-й пулеметные батальоны. После реорганизации УРа в 1936 году гарнизон составляли 13-й пулеметный батальон, артполк, подразделения саперов и связи и пулеметные батальоны трех стрелковых полков 13-й стрелковой дивизии. Кроме того, некоторые участки УРа занимались пулеметными дивизионами погранотрядов.</w:t>
      </w:r>
    </w:p>
    <w:p w:rsidR="00090E50" w:rsidRPr="00B5627E" w:rsidRDefault="00090E50" w:rsidP="00E40FEE">
      <w:pPr>
        <w:jc w:val="both"/>
        <w:rPr>
          <w:rFonts w:ascii="Times New Roman" w:hAnsi="Times New Roman"/>
          <w:sz w:val="30"/>
          <w:szCs w:val="30"/>
        </w:rPr>
      </w:pPr>
      <w:r w:rsidRPr="00B5627E">
        <w:rPr>
          <w:rFonts w:ascii="Times New Roman" w:hAnsi="Times New Roman"/>
          <w:sz w:val="30"/>
          <w:szCs w:val="30"/>
        </w:rPr>
        <w:t xml:space="preserve">Летом 1937 года в Минске работала комиссия, проверявшая состояние УРов западных округов. Она установила серьезные недостатки в </w:t>
      </w:r>
      <w:r w:rsidRPr="00B5627E">
        <w:rPr>
          <w:rFonts w:ascii="Times New Roman" w:hAnsi="Times New Roman"/>
          <w:sz w:val="30"/>
          <w:szCs w:val="30"/>
        </w:rPr>
        <w:lastRenderedPageBreak/>
        <w:t xml:space="preserve">боеготовности Минского УРа и дала отрицательный отзыво положении дел в укрепрайоне. Весной 1938 года командир 13-й стрелковой дивизии Вишнеревский и ряд других командиров УРа были арестованы. </w:t>
      </w:r>
    </w:p>
    <w:p w:rsidR="00090E50" w:rsidRPr="00B5627E" w:rsidRDefault="00090E50" w:rsidP="00E40FEE">
      <w:pPr>
        <w:spacing w:after="0" w:line="240" w:lineRule="auto"/>
        <w:ind w:firstLine="709"/>
        <w:rPr>
          <w:rFonts w:ascii="Times New Roman" w:hAnsi="Times New Roman"/>
          <w:sz w:val="30"/>
          <w:szCs w:val="30"/>
        </w:rPr>
      </w:pPr>
      <w:r>
        <w:rPr>
          <w:noProof/>
          <w:sz w:val="30"/>
          <w:szCs w:val="30"/>
          <w:lang w:eastAsia="ru-RU"/>
        </w:rPr>
        <w:drawing>
          <wp:anchor distT="0" distB="0" distL="114300" distR="114300" simplePos="0" relativeHeight="251681792" behindDoc="0" locked="0" layoutInCell="1" allowOverlap="1">
            <wp:simplePos x="0" y="0"/>
            <wp:positionH relativeFrom="margin">
              <wp:posOffset>-32385</wp:posOffset>
            </wp:positionH>
            <wp:positionV relativeFrom="margin">
              <wp:posOffset>2472055</wp:posOffset>
            </wp:positionV>
            <wp:extent cx="3830320" cy="3815080"/>
            <wp:effectExtent l="266700" t="228600" r="246380" b="18542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a:stretch>
                      <a:fillRect/>
                    </a:stretch>
                  </pic:blipFill>
                  <pic:spPr bwMode="auto">
                    <a:xfrm>
                      <a:off x="0" y="0"/>
                      <a:ext cx="3830320" cy="3815080"/>
                    </a:xfrm>
                    <a:prstGeom prst="round2DiagRect">
                      <a:avLst>
                        <a:gd name="adj1" fmla="val 16667"/>
                        <a:gd name="adj2" fmla="val 0"/>
                      </a:avLst>
                    </a:prstGeom>
                    <a:ln w="381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00032D13">
        <w:rPr>
          <w:noProof/>
          <w:sz w:val="30"/>
          <w:szCs w:val="30"/>
          <w:lang w:eastAsia="ru-RU"/>
        </w:rPr>
        <w:pict>
          <v:shape id="_x0000_s1034" type="#_x0000_t202" style="position:absolute;left:0;text-align:left;margin-left:4.45pt;margin-top:518.6pt;width:301.6pt;height:51.05pt;z-index:-251633664;mso-position-horizontal-relative:margin;mso-position-vertical-relative:margin;mso-width-relative:margin;v-text-anchor:middle" o:allowincell="f" fillcolor="white [3201]" strokecolor="#943634 [2405]" strokeweight="2.5pt">
            <v:shadow color="#868686"/>
            <v:textbox style="mso-next-textbox:#_x0000_s1034" inset="10.8pt,7.2pt,10.8pt,7.2pt">
              <w:txbxContent>
                <w:p w:rsidR="00090E50" w:rsidRPr="00010EEF" w:rsidRDefault="00090E50" w:rsidP="00090E50">
                  <w:pPr>
                    <w:spacing w:after="0" w:line="240" w:lineRule="auto"/>
                    <w:jc w:val="center"/>
                    <w:rPr>
                      <w:rFonts w:ascii="Times New Roman" w:eastAsia="Times New Roman" w:hAnsi="Times New Roman"/>
                      <w:b/>
                      <w:i/>
                      <w:iCs/>
                      <w:sz w:val="28"/>
                      <w:szCs w:val="28"/>
                    </w:rPr>
                  </w:pPr>
                  <w:r>
                    <w:rPr>
                      <w:rFonts w:ascii="Times New Roman" w:hAnsi="Times New Roman"/>
                      <w:b/>
                      <w:i/>
                      <w:sz w:val="28"/>
                      <w:szCs w:val="28"/>
                    </w:rPr>
                    <w:t xml:space="preserve">Схема батальонного района </w:t>
                  </w:r>
                  <w:r>
                    <w:rPr>
                      <w:rFonts w:ascii="Times New Roman" w:hAnsi="Times New Roman"/>
                      <w:b/>
                      <w:i/>
                      <w:sz w:val="28"/>
                      <w:szCs w:val="28"/>
                    </w:rPr>
                    <w:br/>
                    <w:t>большой мощности</w:t>
                  </w:r>
                </w:p>
              </w:txbxContent>
            </v:textbox>
            <w10:wrap type="square" anchorx="margin" anchory="margin"/>
          </v:shape>
        </w:pict>
      </w:r>
      <w:r w:rsidRPr="00B5627E">
        <w:rPr>
          <w:rFonts w:ascii="Times New Roman" w:hAnsi="Times New Roman"/>
          <w:sz w:val="30"/>
          <w:szCs w:val="30"/>
        </w:rPr>
        <w:t>Кроме того, комиссия выработала предложения по усилению укрепрайона, гидротехническому и дорожному строительству, полевой обороне, изменению организации войск УРа и другим вопросам. Согласно директиве Генерального штаба РККА № 74621 сс/ов от 25 июня 1938 года были начаты работы по усилению Минского УРа. В первую очередь производилось артиллерийское усиление районов обороны. Были отрекогносциированы и возведены девять пушечных полукапониров нового типа (к настоящему времени полевыми исследованиями выявлено 10). Новшеством стало создание позиций для подразделений контрбатарейной борьбы - артиллерии, предназначенной, главным образом, для борьбы с артиллерией противника. Для этих подразделений  были отрекогносциированы семь позиций на четыре орудия калибром 107, 122 или 152 мм каждая и возведены убежища для расчетов и погребки для боезапаса (бетонирование орудийных площадок не производилось). Работы были завершены к концу 1938 года.</w:t>
      </w:r>
      <w:r w:rsidRPr="00B5627E">
        <w:rPr>
          <w:rFonts w:ascii="Times New Roman" w:eastAsia="Times New Roman" w:hAnsi="Times New Roman"/>
          <w:snapToGrid w:val="0"/>
          <w:color w:val="000000"/>
          <w:w w:val="0"/>
          <w:sz w:val="30"/>
          <w:szCs w:val="30"/>
          <w:u w:color="000000"/>
          <w:bdr w:val="none" w:sz="0" w:space="0" w:color="000000"/>
          <w:shd w:val="clear" w:color="000000" w:fill="000000"/>
        </w:rPr>
        <w:t xml:space="preserve"> </w:t>
      </w:r>
    </w:p>
    <w:p w:rsidR="00090E50" w:rsidRPr="00B5627E" w:rsidRDefault="00090E50" w:rsidP="00090E50">
      <w:pPr>
        <w:spacing w:after="0" w:line="240" w:lineRule="auto"/>
        <w:ind w:firstLine="709"/>
        <w:jc w:val="both"/>
        <w:rPr>
          <w:rFonts w:ascii="Times New Roman" w:hAnsi="Times New Roman"/>
          <w:sz w:val="30"/>
          <w:szCs w:val="30"/>
        </w:rPr>
      </w:pPr>
      <w:r w:rsidRPr="00E40FEE">
        <w:rPr>
          <w:b/>
          <w:i/>
          <w:noProof/>
          <w:sz w:val="30"/>
          <w:szCs w:val="30"/>
          <w:lang w:eastAsia="ru-RU"/>
        </w:rPr>
        <w:lastRenderedPageBreak/>
        <w:drawing>
          <wp:anchor distT="0" distB="0" distL="114300" distR="114300" simplePos="0" relativeHeight="251684864" behindDoc="0" locked="0" layoutInCell="1" allowOverlap="1">
            <wp:simplePos x="0" y="0"/>
            <wp:positionH relativeFrom="margin">
              <wp:posOffset>2787015</wp:posOffset>
            </wp:positionH>
            <wp:positionV relativeFrom="margin">
              <wp:posOffset>176530</wp:posOffset>
            </wp:positionV>
            <wp:extent cx="3044190" cy="4103370"/>
            <wp:effectExtent l="266700" t="228600" r="270510" b="201930"/>
            <wp:wrapSquare wrapText="bothSides"/>
            <wp:docPr id="64" name="Рисунок 64" descr="Soviet_invasion_on_Poland_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oviet_invasion_on_Poland_1939"/>
                    <pic:cNvPicPr>
                      <a:picLocks noChangeAspect="1" noChangeArrowheads="1"/>
                    </pic:cNvPicPr>
                  </pic:nvPicPr>
                  <pic:blipFill>
                    <a:blip r:embed="rId17" cstate="print"/>
                    <a:srcRect/>
                    <a:stretch>
                      <a:fillRect/>
                    </a:stretch>
                  </pic:blipFill>
                  <pic:spPr bwMode="auto">
                    <a:xfrm>
                      <a:off x="0" y="0"/>
                      <a:ext cx="3044190" cy="4103370"/>
                    </a:xfrm>
                    <a:prstGeom prst="round2DiagRect">
                      <a:avLst>
                        <a:gd name="adj1" fmla="val 16667"/>
                        <a:gd name="adj2" fmla="val 0"/>
                      </a:avLst>
                    </a:prstGeom>
                    <a:ln w="381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00E40FEE" w:rsidRPr="00E40FEE">
        <w:rPr>
          <w:rFonts w:ascii="Times New Roman" w:hAnsi="Times New Roman"/>
          <w:b/>
          <w:i/>
          <w:sz w:val="30"/>
          <w:szCs w:val="30"/>
        </w:rPr>
        <w:t>Кохович Алеся:</w:t>
      </w:r>
      <w:r w:rsidR="00E40FEE">
        <w:rPr>
          <w:rFonts w:ascii="Times New Roman" w:hAnsi="Times New Roman"/>
          <w:sz w:val="30"/>
          <w:szCs w:val="30"/>
        </w:rPr>
        <w:t xml:space="preserve"> </w:t>
      </w:r>
      <w:r w:rsidRPr="00B5627E">
        <w:rPr>
          <w:rFonts w:ascii="Times New Roman" w:hAnsi="Times New Roman"/>
          <w:sz w:val="30"/>
          <w:szCs w:val="30"/>
        </w:rPr>
        <w:t>Но все эти работы были прекращены 17 сентября 1939 года, после начала освободительного похода в Западную Белоруссию. В это время гарнизон УРа состоял из шести пулеметных батальонов: 12-го, 13-го, 14-го, 87-го, 101-го и 112-го.</w:t>
      </w:r>
    </w:p>
    <w:p w:rsidR="00090E50" w:rsidRPr="00B5627E" w:rsidRDefault="00032D13" w:rsidP="00090E50">
      <w:pPr>
        <w:spacing w:after="0" w:line="240" w:lineRule="auto"/>
        <w:ind w:firstLine="709"/>
        <w:jc w:val="both"/>
        <w:rPr>
          <w:rFonts w:ascii="Times New Roman" w:hAnsi="Times New Roman"/>
          <w:sz w:val="30"/>
          <w:szCs w:val="30"/>
        </w:rPr>
      </w:pPr>
      <w:r>
        <w:rPr>
          <w:noProof/>
          <w:sz w:val="30"/>
          <w:szCs w:val="30"/>
          <w:lang w:eastAsia="ru-RU"/>
        </w:rPr>
        <w:pict>
          <v:shape id="_x0000_s1035" type="#_x0000_t202" style="position:absolute;left:0;text-align:left;margin-left:215.6pt;margin-top:352.15pt;width:239.7pt;height:53.25pt;z-index:-251630592;mso-position-horizontal-relative:margin;mso-position-vertical-relative:margin;mso-width-relative:margin;v-text-anchor:middle" o:allowincell="f" fillcolor="white [3201]" strokecolor="#943634 [2405]" strokeweight="2.5pt">
            <v:shadow color="#868686"/>
            <v:textbox style="mso-next-textbox:#_x0000_s1035" inset="10.8pt,7.2pt,10.8pt,7.2pt">
              <w:txbxContent>
                <w:p w:rsidR="00090E50" w:rsidRPr="00010EEF" w:rsidRDefault="00090E50" w:rsidP="00090E50">
                  <w:pPr>
                    <w:spacing w:after="0" w:line="240" w:lineRule="auto"/>
                    <w:jc w:val="center"/>
                    <w:rPr>
                      <w:rFonts w:ascii="Times New Roman" w:eastAsia="Times New Roman" w:hAnsi="Times New Roman"/>
                      <w:b/>
                      <w:i/>
                      <w:iCs/>
                      <w:sz w:val="28"/>
                      <w:szCs w:val="28"/>
                    </w:rPr>
                  </w:pPr>
                  <w:r>
                    <w:rPr>
                      <w:rFonts w:ascii="Times New Roman" w:hAnsi="Times New Roman"/>
                      <w:b/>
                      <w:i/>
                      <w:sz w:val="28"/>
                      <w:szCs w:val="28"/>
                    </w:rPr>
                    <w:t>Освободительный поход Красной Армии 1939 г.</w:t>
                  </w:r>
                </w:p>
              </w:txbxContent>
            </v:textbox>
            <w10:wrap type="square" anchorx="margin" anchory="margin"/>
          </v:shape>
        </w:pict>
      </w:r>
      <w:r w:rsidR="00090E50" w:rsidRPr="00B5627E">
        <w:rPr>
          <w:rFonts w:ascii="Times New Roman" w:hAnsi="Times New Roman"/>
          <w:sz w:val="30"/>
          <w:szCs w:val="30"/>
        </w:rPr>
        <w:t>На основании приказа военного совета Белорусского фронта от 19 октября 1939 года была создана комиссия, определившая перечень объектов новой постройки и порядок консервации их, а также порядок консервации сооружений старой постройки. Недостроенные объекты и строительные площадки были разобраны.</w:t>
      </w:r>
    </w:p>
    <w:p w:rsidR="00090E50" w:rsidRPr="00B5627E" w:rsidRDefault="00090E50" w:rsidP="00090E50">
      <w:pPr>
        <w:spacing w:after="0" w:line="240" w:lineRule="auto"/>
        <w:ind w:firstLine="709"/>
        <w:jc w:val="both"/>
        <w:rPr>
          <w:rFonts w:ascii="Times New Roman" w:hAnsi="Times New Roman"/>
          <w:sz w:val="30"/>
          <w:szCs w:val="30"/>
        </w:rPr>
      </w:pPr>
      <w:r w:rsidRPr="00B5627E">
        <w:rPr>
          <w:rFonts w:ascii="Times New Roman" w:hAnsi="Times New Roman"/>
          <w:sz w:val="30"/>
          <w:szCs w:val="30"/>
        </w:rPr>
        <w:t>В сентябре 1940 года комиссия Генерального штаба РККА проверяла Минский УР и обнаружила, что «оборудование из сооружений, находящееся на складах, за подразделениями не закреплено, не комплектно... При передислокации... оборудование, которое осталось на складе, никому не передано. Часть оборудования в сооружениях ржавеет и портится. Охрана сооружений и оборудования, которое в них находится, практически отсутствует».</w:t>
      </w:r>
    </w:p>
    <w:p w:rsidR="00090E50" w:rsidRPr="00B5627E" w:rsidRDefault="00090E50" w:rsidP="00090E50">
      <w:pPr>
        <w:spacing w:after="0" w:line="240" w:lineRule="auto"/>
        <w:ind w:firstLine="709"/>
        <w:jc w:val="both"/>
        <w:rPr>
          <w:rFonts w:ascii="Times New Roman" w:hAnsi="Times New Roman"/>
          <w:sz w:val="30"/>
          <w:szCs w:val="30"/>
        </w:rPr>
      </w:pPr>
      <w:r w:rsidRPr="00B5627E">
        <w:rPr>
          <w:rFonts w:ascii="Times New Roman" w:hAnsi="Times New Roman"/>
          <w:sz w:val="30"/>
          <w:szCs w:val="30"/>
        </w:rPr>
        <w:t>К началу войны в Минском УРе находился всего один пулеметный батальон, осуществлявший охрану сооружений УРа и складов.</w:t>
      </w:r>
    </w:p>
    <w:p w:rsidR="00090E50" w:rsidRPr="00B5627E" w:rsidRDefault="00090E50" w:rsidP="00090E50">
      <w:pPr>
        <w:spacing w:after="0" w:line="240" w:lineRule="auto"/>
        <w:ind w:firstLine="709"/>
        <w:jc w:val="both"/>
        <w:rPr>
          <w:rFonts w:ascii="Times New Roman" w:hAnsi="Times New Roman"/>
          <w:sz w:val="30"/>
          <w:szCs w:val="30"/>
        </w:rPr>
      </w:pPr>
      <w:r w:rsidRPr="00B5627E">
        <w:rPr>
          <w:rFonts w:ascii="Times New Roman" w:hAnsi="Times New Roman"/>
          <w:sz w:val="30"/>
          <w:szCs w:val="30"/>
        </w:rPr>
        <w:t>В ходе летней кампании 1941 года немецким войскам удалось преодолеть в Белоруссии полосы обороны новых и старых УРов быстро и сразу в нескольких направлениях. Укрепленные районы не задержали противника на то время, которое необходимо было для организации обороны крупных городов и стратегических направлений.</w:t>
      </w:r>
      <w:r w:rsidRPr="00B5627E">
        <w:rPr>
          <w:rFonts w:ascii="Times New Roman" w:eastAsia="Times New Roman" w:hAnsi="Times New Roman"/>
          <w:snapToGrid w:val="0"/>
          <w:color w:val="000000"/>
          <w:w w:val="0"/>
          <w:sz w:val="30"/>
          <w:szCs w:val="30"/>
          <w:u w:color="000000"/>
          <w:bdr w:val="none" w:sz="0" w:space="0" w:color="000000"/>
          <w:shd w:val="clear" w:color="000000" w:fill="000000"/>
        </w:rPr>
        <w:t xml:space="preserve"> </w:t>
      </w:r>
    </w:p>
    <w:p w:rsidR="00090E50" w:rsidRPr="00B5627E" w:rsidRDefault="00090E50" w:rsidP="00090E50">
      <w:pPr>
        <w:spacing w:after="0" w:line="240" w:lineRule="auto"/>
        <w:ind w:firstLine="709"/>
        <w:jc w:val="both"/>
        <w:rPr>
          <w:rFonts w:ascii="Times New Roman" w:hAnsi="Times New Roman"/>
          <w:sz w:val="30"/>
          <w:szCs w:val="30"/>
        </w:rPr>
      </w:pPr>
      <w:r w:rsidRPr="00B5627E">
        <w:rPr>
          <w:rFonts w:ascii="Times New Roman" w:hAnsi="Times New Roman"/>
          <w:sz w:val="30"/>
          <w:szCs w:val="30"/>
        </w:rPr>
        <w:t xml:space="preserve">Советские военачальники и военные историки не раз высказывали мысль о том, что если бы УРы на старой границе оставались боеготовыми, отступающие войска Западного фронта смогли бы занять оборону и оказать серьезное сопротивление немецким войскам вдоль </w:t>
      </w:r>
      <w:r w:rsidRPr="00B5627E">
        <w:rPr>
          <w:rFonts w:ascii="Times New Roman" w:hAnsi="Times New Roman"/>
          <w:sz w:val="30"/>
          <w:szCs w:val="30"/>
        </w:rPr>
        <w:lastRenderedPageBreak/>
        <w:t>линии УРов. «Нет сомнений, - писал Маршал Советского Союза И.Х. Баграмян, - что если бы нам до полного введения в строй новых УРов удалось бы сохранить боевую готовность старых УРов, это серьезно повысило бы обороноспособность...» Подавляющее большинство современных исследователей Великой Отечественной войны разделяет эту точку зрения.</w:t>
      </w:r>
    </w:p>
    <w:p w:rsidR="00090E50" w:rsidRPr="00B5627E" w:rsidRDefault="00090E50" w:rsidP="00090E50">
      <w:pPr>
        <w:spacing w:after="0" w:line="240" w:lineRule="auto"/>
        <w:ind w:firstLine="709"/>
        <w:jc w:val="both"/>
        <w:rPr>
          <w:rFonts w:ascii="Times New Roman" w:hAnsi="Times New Roman"/>
          <w:sz w:val="30"/>
          <w:szCs w:val="30"/>
        </w:rPr>
      </w:pPr>
      <w:r w:rsidRPr="00B5627E">
        <w:rPr>
          <w:rFonts w:ascii="Times New Roman" w:hAnsi="Times New Roman"/>
          <w:sz w:val="30"/>
          <w:szCs w:val="30"/>
        </w:rPr>
        <w:t>Противник довольно уверенно подавлял оборону советских гарнизонов. Как правило, немцы, попавшие под пулеметный огонь дота, не бросались его штурмовать с ходу. Огневая точка, оказавшая сопротивление, сначала блокировалась пехотными подразделениями. Затем противник устанавливал сектора обстрела русских пулеметов и зоны их действенного огня. Если дот не мешал движению и его можно было обойти, германцы оставляли его в своем тылу и шли дальше. В противном случае импровизированная штурмовая группа с ручными пулеметами и подрывным снаряжением обходила фортификационное сооружение с тыла, брала под прицел выход из него и взбиралась на его крышу. Там немцы выламывали перископ и через его шахту опускали в казематы подрывные заряды, бросали гранаты или заливали какой-нибудь ГСМ.</w:t>
      </w:r>
      <w:r w:rsidRPr="00B5627E">
        <w:rPr>
          <w:rFonts w:ascii="Times New Roman" w:eastAsia="Times New Roman" w:hAnsi="Times New Roman"/>
          <w:snapToGrid w:val="0"/>
          <w:color w:val="000000"/>
          <w:w w:val="0"/>
          <w:sz w:val="30"/>
          <w:szCs w:val="30"/>
          <w:u w:color="000000"/>
          <w:bdr w:val="none" w:sz="0" w:space="0" w:color="000000"/>
          <w:shd w:val="clear" w:color="000000" w:fill="000000"/>
        </w:rPr>
        <w:t xml:space="preserve"> </w:t>
      </w:r>
    </w:p>
    <w:p w:rsidR="00090E50" w:rsidRDefault="00E40FEE" w:rsidP="00090E50">
      <w:pPr>
        <w:spacing w:after="0" w:line="240" w:lineRule="auto"/>
        <w:ind w:firstLine="709"/>
        <w:jc w:val="both"/>
        <w:rPr>
          <w:rFonts w:ascii="Times New Roman" w:hAnsi="Times New Roman"/>
          <w:sz w:val="30"/>
          <w:szCs w:val="30"/>
        </w:rPr>
      </w:pPr>
      <w:r>
        <w:rPr>
          <w:rFonts w:ascii="Times New Roman" w:hAnsi="Times New Roman"/>
          <w:b/>
          <w:i/>
          <w:sz w:val="30"/>
          <w:szCs w:val="30"/>
        </w:rPr>
        <w:t>Савошинский Артем:</w:t>
      </w:r>
      <w:r>
        <w:rPr>
          <w:rFonts w:ascii="Times New Roman" w:hAnsi="Times New Roman"/>
          <w:sz w:val="30"/>
          <w:szCs w:val="30"/>
        </w:rPr>
        <w:t xml:space="preserve">: </w:t>
      </w:r>
      <w:r w:rsidR="00090E50" w:rsidRPr="00B5627E">
        <w:rPr>
          <w:rFonts w:ascii="Times New Roman" w:hAnsi="Times New Roman"/>
          <w:sz w:val="30"/>
          <w:szCs w:val="30"/>
        </w:rPr>
        <w:t xml:space="preserve">Несмотря на крайне неблагоприятные условия борьбы, некоторые огневые точки Минского УРа т оказали упорное сопротивление противнику. </w:t>
      </w:r>
    </w:p>
    <w:p w:rsidR="00090E50" w:rsidRPr="00B5627E" w:rsidRDefault="00090E50" w:rsidP="00090E50">
      <w:pPr>
        <w:spacing w:after="0" w:line="240" w:lineRule="auto"/>
        <w:ind w:firstLine="709"/>
        <w:jc w:val="both"/>
        <w:rPr>
          <w:rFonts w:ascii="Times New Roman" w:hAnsi="Times New Roman"/>
          <w:b/>
          <w:sz w:val="30"/>
          <w:szCs w:val="30"/>
        </w:rPr>
      </w:pPr>
      <w:r w:rsidRPr="00B5627E">
        <w:rPr>
          <w:rFonts w:ascii="Times New Roman" w:hAnsi="Times New Roman"/>
          <w:sz w:val="30"/>
          <w:szCs w:val="30"/>
        </w:rPr>
        <w:t>Долговре́менная огнева́я то́чка (ДОТ, дот, иногда «долговременная оборонительная точка») — отдельное небольшое фортификационное сооружение из прочных материалов, предназначенное для долговременной обороны и стрельбы различными огневыми средствами из защищённого помещения (боевого каземата).</w:t>
      </w:r>
      <w:r w:rsidRPr="00B5627E">
        <w:rPr>
          <w:rFonts w:ascii="Times New Roman" w:eastAsia="Times New Roman" w:hAnsi="Times New Roman"/>
          <w:snapToGrid w:val="0"/>
          <w:color w:val="000000"/>
          <w:w w:val="0"/>
          <w:sz w:val="30"/>
          <w:szCs w:val="30"/>
          <w:u w:color="000000"/>
          <w:bdr w:val="none" w:sz="0" w:space="0" w:color="000000"/>
          <w:shd w:val="clear" w:color="000000" w:fill="000000"/>
        </w:rPr>
        <w:t xml:space="preserve"> </w:t>
      </w:r>
    </w:p>
    <w:p w:rsidR="00090E50" w:rsidRPr="00B5627E" w:rsidRDefault="00090E50" w:rsidP="00090E50">
      <w:pPr>
        <w:spacing w:after="0" w:line="240" w:lineRule="auto"/>
        <w:ind w:firstLine="709"/>
        <w:jc w:val="both"/>
        <w:rPr>
          <w:rFonts w:ascii="Times New Roman" w:hAnsi="Times New Roman"/>
          <w:b/>
          <w:sz w:val="30"/>
          <w:szCs w:val="30"/>
        </w:rPr>
      </w:pPr>
      <w:r w:rsidRPr="00B5627E">
        <w:rPr>
          <w:rFonts w:ascii="Times New Roman" w:hAnsi="Times New Roman"/>
          <w:sz w:val="30"/>
          <w:szCs w:val="30"/>
        </w:rPr>
        <w:t>Долговременные сооружения строились из монолитного или сборного железобетона, камня на растворе, железных балок с арматурой и броневых закрытий. Огневая точка, выполненная целиком из металла, носит название бронеколпак. Чаще всего применялся монолитный железобетон.</w:t>
      </w:r>
      <w:r w:rsidRPr="00B5627E">
        <w:rPr>
          <w:rFonts w:ascii="Times New Roman" w:eastAsia="Times New Roman" w:hAnsi="Times New Roman"/>
          <w:snapToGrid w:val="0"/>
          <w:color w:val="000000"/>
          <w:w w:val="0"/>
          <w:sz w:val="30"/>
          <w:szCs w:val="30"/>
          <w:u w:color="000000"/>
          <w:bdr w:val="none" w:sz="0" w:space="0" w:color="000000"/>
          <w:shd w:val="clear" w:color="000000" w:fill="000000"/>
        </w:rPr>
        <w:t xml:space="preserve"> </w:t>
      </w:r>
    </w:p>
    <w:p w:rsidR="00090E50" w:rsidRDefault="00090E50" w:rsidP="00090E50">
      <w:pPr>
        <w:spacing w:after="0" w:line="240" w:lineRule="auto"/>
        <w:ind w:firstLine="709"/>
        <w:jc w:val="both"/>
        <w:rPr>
          <w:rFonts w:ascii="Times New Roman" w:hAnsi="Times New Roman"/>
          <w:sz w:val="30"/>
          <w:szCs w:val="30"/>
        </w:rPr>
      </w:pPr>
      <w:r w:rsidRPr="00B5627E">
        <w:rPr>
          <w:rFonts w:ascii="Times New Roman" w:hAnsi="Times New Roman"/>
          <w:sz w:val="30"/>
          <w:szCs w:val="30"/>
        </w:rPr>
        <w:t xml:space="preserve">Это сооружение может быть как одиночным, так и одним из многих в системе укреплённого района. Как и другие виды долговременных фортификационных сооружений, дот защищает военнослужащих от поражения огнём противника (пули, осколки, мины, снаряды, бомбы) и даёт возможность гарнизону вести огонь по противнику через амбразуры, спонсоны, казематные или башенные артиллерийские установки. В качестве ДОТов иногда использовались врытые в землю танки устаревших типов, либо неспособные к самостоятельному передвижению, а также танковые башни, </w:t>
      </w:r>
      <w:r w:rsidRPr="00B5627E">
        <w:rPr>
          <w:rFonts w:ascii="Times New Roman" w:hAnsi="Times New Roman"/>
          <w:sz w:val="30"/>
          <w:szCs w:val="30"/>
        </w:rPr>
        <w:lastRenderedPageBreak/>
        <w:t xml:space="preserve">установленные на фундаментах. Именно такой танк был установлен на </w:t>
      </w:r>
      <w:r w:rsidRPr="003B7F24">
        <w:rPr>
          <w:rFonts w:ascii="Times New Roman" w:hAnsi="Times New Roman"/>
          <w:sz w:val="30"/>
          <w:szCs w:val="30"/>
        </w:rPr>
        <w:t>доте №12. Сейчас этот танк перевезен на «Линию Сталина».</w:t>
      </w:r>
      <w:r w:rsidRPr="00B5627E">
        <w:rPr>
          <w:rFonts w:ascii="Times New Roman" w:hAnsi="Times New Roman"/>
          <w:sz w:val="30"/>
          <w:szCs w:val="30"/>
        </w:rPr>
        <w:t xml:space="preserve"> </w:t>
      </w:r>
    </w:p>
    <w:p w:rsidR="00090E50" w:rsidRPr="00CB64A5" w:rsidRDefault="00090E50" w:rsidP="00CB64A5">
      <w:pPr>
        <w:spacing w:after="0" w:line="240" w:lineRule="auto"/>
        <w:ind w:firstLine="709"/>
        <w:jc w:val="both"/>
        <w:rPr>
          <w:rStyle w:val="postbody1"/>
          <w:rFonts w:ascii="Times New Roman" w:hAnsi="Times New Roman"/>
          <w:sz w:val="30"/>
          <w:szCs w:val="30"/>
        </w:rPr>
      </w:pPr>
      <w:r w:rsidRPr="00B5627E">
        <w:rPr>
          <w:rFonts w:ascii="Times New Roman" w:hAnsi="Times New Roman"/>
          <w:sz w:val="30"/>
          <w:szCs w:val="30"/>
        </w:rPr>
        <w:t xml:space="preserve">Кроме того, что </w:t>
      </w:r>
      <w:r w:rsidRPr="003B7F24">
        <w:rPr>
          <w:rFonts w:ascii="Times New Roman" w:hAnsi="Times New Roman"/>
          <w:sz w:val="30"/>
          <w:szCs w:val="30"/>
        </w:rPr>
        <w:t>дот №12</w:t>
      </w:r>
      <w:r w:rsidRPr="00B5627E">
        <w:rPr>
          <w:rFonts w:ascii="Times New Roman" w:hAnsi="Times New Roman"/>
          <w:sz w:val="30"/>
          <w:szCs w:val="30"/>
        </w:rPr>
        <w:t xml:space="preserve"> использовался для обороны и стрельбы, он был также командирским. Сейчас данный дот полностью забетонирован, заделаны все отверстия, чтобы туда никто не </w:t>
      </w:r>
    </w:p>
    <w:p w:rsidR="00090E50" w:rsidRPr="00CB64A5" w:rsidRDefault="00090E50" w:rsidP="00CB64A5">
      <w:pPr>
        <w:spacing w:after="0" w:line="240" w:lineRule="auto"/>
        <w:ind w:firstLine="709"/>
        <w:jc w:val="both"/>
        <w:rPr>
          <w:rStyle w:val="postbody1"/>
          <w:rFonts w:ascii="Times New Roman" w:hAnsi="Times New Roman"/>
          <w:sz w:val="30"/>
          <w:szCs w:val="30"/>
        </w:rPr>
      </w:pPr>
      <w:r w:rsidRPr="00CB64A5">
        <w:rPr>
          <w:rStyle w:val="postbody1"/>
          <w:rFonts w:ascii="Times New Roman" w:hAnsi="Times New Roman"/>
          <w:sz w:val="30"/>
          <w:szCs w:val="30"/>
        </w:rPr>
        <w:t>Дот №11. Отсутствует. Должен был размещаться в деревне Клыповщина рядом с кладбищем.</w:t>
      </w:r>
    </w:p>
    <w:p w:rsidR="00CB64A5" w:rsidRPr="00CB64A5" w:rsidRDefault="00CB64A5" w:rsidP="00CB64A5">
      <w:pPr>
        <w:spacing w:after="0" w:line="240" w:lineRule="auto"/>
        <w:ind w:left="709"/>
        <w:jc w:val="both"/>
        <w:rPr>
          <w:rFonts w:ascii="Times New Roman" w:hAnsi="Times New Roman"/>
          <w:sz w:val="30"/>
          <w:szCs w:val="30"/>
        </w:rPr>
      </w:pPr>
      <w:r w:rsidRPr="00CB64A5">
        <w:rPr>
          <w:rStyle w:val="postbody1"/>
          <w:rFonts w:ascii="Times New Roman" w:hAnsi="Times New Roman"/>
          <w:sz w:val="30"/>
          <w:szCs w:val="30"/>
        </w:rPr>
        <w:t>Негорелое (ГУО «Негорельская базовая школа №2») – Дот №12.</w:t>
      </w:r>
      <w:r w:rsidRPr="00CB64A5">
        <w:rPr>
          <w:rFonts w:ascii="Times New Roman" w:hAnsi="Times New Roman"/>
          <w:sz w:val="30"/>
          <w:szCs w:val="30"/>
        </w:rPr>
        <w:t xml:space="preserve"> </w:t>
      </w:r>
    </w:p>
    <w:p w:rsidR="00CB64A5" w:rsidRPr="00CB64A5" w:rsidRDefault="00CB64A5" w:rsidP="00CB64A5">
      <w:pPr>
        <w:spacing w:after="0" w:line="240" w:lineRule="auto"/>
        <w:jc w:val="both"/>
        <w:rPr>
          <w:rStyle w:val="postbody1"/>
          <w:rFonts w:ascii="Times New Roman" w:hAnsi="Times New Roman"/>
          <w:sz w:val="30"/>
          <w:szCs w:val="30"/>
        </w:rPr>
      </w:pPr>
      <w:r w:rsidRPr="00CB64A5">
        <w:rPr>
          <w:rStyle w:val="postbody1"/>
          <w:rFonts w:ascii="Times New Roman" w:hAnsi="Times New Roman"/>
          <w:sz w:val="30"/>
          <w:szCs w:val="30"/>
        </w:rPr>
        <w:t>Дот №12 - Убрав 11-ю единицу, этот дот явно подвинули ближе к железной дороге и посадили рядом с проходившей когда-то грунтовой. В верхней части дота, над двумя амбразурами имеются повреждения, последствия артиллерийского обстрела. Более значительных повреждений нет. Входы засыпаны и основательно замурованы. Попасть внутрь нет возможности. В таком состоянии он давно, было бы любопытно посмотреть его состояние внутри. Вообще, это первый дот, встреченный нами, который так запакован. Тем более, что остальные все доступны, хотя тоже расположены рядом с дорогой.</w:t>
      </w:r>
    </w:p>
    <w:p w:rsidR="00CB64A5" w:rsidRPr="00CB64A5" w:rsidRDefault="00CB64A5" w:rsidP="00CB64A5">
      <w:pPr>
        <w:spacing w:after="0" w:line="240" w:lineRule="auto"/>
        <w:jc w:val="both"/>
        <w:rPr>
          <w:rStyle w:val="postbody1"/>
          <w:rFonts w:ascii="Times New Roman" w:hAnsi="Times New Roman"/>
          <w:sz w:val="30"/>
          <w:szCs w:val="30"/>
        </w:rPr>
      </w:pPr>
      <w:r w:rsidRPr="00CB64A5">
        <w:rPr>
          <w:rStyle w:val="postbody1"/>
          <w:rFonts w:ascii="Times New Roman" w:hAnsi="Times New Roman"/>
          <w:sz w:val="30"/>
          <w:szCs w:val="30"/>
        </w:rPr>
        <w:t>Дот №12 – Полукапонир №012</w:t>
      </w:r>
    </w:p>
    <w:p w:rsidR="00CB64A5" w:rsidRPr="00CB64A5" w:rsidRDefault="00CB64A5" w:rsidP="00753A17">
      <w:pPr>
        <w:spacing w:after="0" w:line="240" w:lineRule="auto"/>
        <w:jc w:val="both"/>
        <w:rPr>
          <w:rStyle w:val="postbody1"/>
          <w:rFonts w:ascii="Times New Roman" w:hAnsi="Times New Roman"/>
          <w:sz w:val="30"/>
          <w:szCs w:val="30"/>
        </w:rPr>
      </w:pPr>
      <w:r w:rsidRPr="00CB64A5">
        <w:rPr>
          <w:rStyle w:val="postbody1"/>
          <w:rFonts w:ascii="Times New Roman" w:hAnsi="Times New Roman"/>
          <w:sz w:val="30"/>
          <w:szCs w:val="30"/>
        </w:rPr>
        <w:t>Бетонная коробка. Все входы и амбразуры засыпаны. Много земли и кое где встречается колючая проволока.</w:t>
      </w:r>
    </w:p>
    <w:p w:rsidR="00CB64A5" w:rsidRPr="00CB64A5" w:rsidRDefault="00CB64A5" w:rsidP="00E30AB3">
      <w:pPr>
        <w:spacing w:after="0" w:line="240" w:lineRule="auto"/>
        <w:ind w:firstLine="426"/>
        <w:jc w:val="both"/>
        <w:rPr>
          <w:rStyle w:val="postbody1"/>
          <w:rFonts w:ascii="Times New Roman" w:hAnsi="Times New Roman"/>
          <w:sz w:val="30"/>
          <w:szCs w:val="30"/>
        </w:rPr>
      </w:pPr>
      <w:r w:rsidRPr="00CB64A5">
        <w:rPr>
          <w:rStyle w:val="postbody1"/>
          <w:rFonts w:ascii="Times New Roman" w:hAnsi="Times New Roman"/>
          <w:sz w:val="30"/>
          <w:szCs w:val="30"/>
        </w:rPr>
        <w:t>Полукапонир №012 - Дот №13</w:t>
      </w:r>
      <w:r w:rsidRPr="00CB64A5">
        <w:rPr>
          <w:rFonts w:ascii="Times New Roman" w:hAnsi="Times New Roman"/>
          <w:sz w:val="30"/>
          <w:szCs w:val="30"/>
        </w:rPr>
        <w:t xml:space="preserve"> </w:t>
      </w:r>
      <w:r w:rsidRPr="00CB64A5">
        <w:rPr>
          <w:rStyle w:val="postbody1"/>
          <w:rFonts w:ascii="Times New Roman" w:hAnsi="Times New Roman"/>
          <w:sz w:val="30"/>
          <w:szCs w:val="30"/>
        </w:rPr>
        <w:t>Являлся КНП района.</w:t>
      </w:r>
    </w:p>
    <w:p w:rsidR="00CB64A5" w:rsidRPr="00CB64A5" w:rsidRDefault="00CB64A5" w:rsidP="00CB64A5">
      <w:pPr>
        <w:spacing w:after="0" w:line="240" w:lineRule="auto"/>
        <w:jc w:val="both"/>
        <w:rPr>
          <w:rStyle w:val="postbody1"/>
          <w:rFonts w:ascii="Times New Roman" w:hAnsi="Times New Roman"/>
          <w:sz w:val="30"/>
          <w:szCs w:val="30"/>
        </w:rPr>
      </w:pPr>
      <w:r w:rsidRPr="00CB64A5">
        <w:rPr>
          <w:rStyle w:val="postbody1"/>
          <w:rFonts w:ascii="Times New Roman" w:hAnsi="Times New Roman"/>
          <w:sz w:val="30"/>
          <w:szCs w:val="30"/>
        </w:rPr>
        <w:t>Полукапонир № 010</w:t>
      </w:r>
      <w:r w:rsidRPr="00CB64A5">
        <w:rPr>
          <w:rFonts w:ascii="Times New Roman" w:hAnsi="Times New Roman"/>
          <w:sz w:val="30"/>
          <w:szCs w:val="30"/>
        </w:rPr>
        <w:t xml:space="preserve"> </w:t>
      </w:r>
      <w:r w:rsidRPr="00CB64A5">
        <w:rPr>
          <w:rStyle w:val="postbody1"/>
          <w:rFonts w:ascii="Times New Roman" w:hAnsi="Times New Roman"/>
          <w:sz w:val="30"/>
          <w:szCs w:val="30"/>
        </w:rPr>
        <w:t>Все что сказано о 012-ом, можно отнести и к этому. Единственно представляет интерес его “маскировка”. Понятно, что в свое время, вокруг леса не было, и он размещался на открытой возвышенности. Вот любопытно, кто и зачем пытался его так маскировать?</w:t>
      </w:r>
    </w:p>
    <w:p w:rsidR="00CB64A5" w:rsidRPr="00CB64A5" w:rsidRDefault="00CB64A5" w:rsidP="00E30AB3">
      <w:pPr>
        <w:spacing w:after="0" w:line="240" w:lineRule="auto"/>
        <w:ind w:firstLine="567"/>
        <w:jc w:val="both"/>
        <w:rPr>
          <w:rStyle w:val="postbody1"/>
          <w:rFonts w:ascii="Times New Roman" w:hAnsi="Times New Roman"/>
          <w:sz w:val="30"/>
          <w:szCs w:val="30"/>
        </w:rPr>
      </w:pPr>
      <w:r w:rsidRPr="00CB64A5">
        <w:rPr>
          <w:rStyle w:val="postbody1"/>
          <w:rFonts w:ascii="Times New Roman" w:hAnsi="Times New Roman"/>
          <w:sz w:val="30"/>
          <w:szCs w:val="30"/>
        </w:rPr>
        <w:t>Полукапонир № 010 - Дот №15</w:t>
      </w:r>
    </w:p>
    <w:p w:rsidR="00CB64A5" w:rsidRPr="00CB64A5" w:rsidRDefault="00CB64A5" w:rsidP="00CB64A5">
      <w:pPr>
        <w:spacing w:after="0" w:line="240" w:lineRule="auto"/>
        <w:jc w:val="both"/>
        <w:rPr>
          <w:rStyle w:val="postbody1"/>
          <w:rFonts w:ascii="Times New Roman" w:hAnsi="Times New Roman"/>
          <w:sz w:val="30"/>
          <w:szCs w:val="30"/>
        </w:rPr>
      </w:pPr>
      <w:r w:rsidRPr="00CB64A5">
        <w:rPr>
          <w:rStyle w:val="postbody1"/>
          <w:rFonts w:ascii="Times New Roman" w:hAnsi="Times New Roman"/>
          <w:sz w:val="30"/>
          <w:szCs w:val="30"/>
        </w:rPr>
        <w:t>Внешне неплохо сохранившаяся точка. Повреждения отсутствуют. Рядом расположен асфальтный заводик и карьер. Сейчас сюда перенесли городскую свалку.</w:t>
      </w:r>
    </w:p>
    <w:p w:rsidR="00CB64A5" w:rsidRPr="00CB64A5" w:rsidRDefault="00CB64A5" w:rsidP="00E30AB3">
      <w:pPr>
        <w:spacing w:after="0" w:line="240" w:lineRule="auto"/>
        <w:ind w:firstLine="567"/>
        <w:jc w:val="both"/>
        <w:rPr>
          <w:rStyle w:val="postbody1"/>
          <w:rFonts w:ascii="Times New Roman" w:hAnsi="Times New Roman"/>
          <w:sz w:val="30"/>
          <w:szCs w:val="30"/>
        </w:rPr>
      </w:pPr>
      <w:r w:rsidRPr="00CB64A5">
        <w:rPr>
          <w:rStyle w:val="postbody1"/>
          <w:rFonts w:ascii="Times New Roman" w:hAnsi="Times New Roman"/>
          <w:sz w:val="30"/>
          <w:szCs w:val="30"/>
        </w:rPr>
        <w:t>Дот №15 – Дот №17</w:t>
      </w:r>
    </w:p>
    <w:p w:rsidR="00CB64A5" w:rsidRPr="00CB64A5" w:rsidRDefault="00CB64A5" w:rsidP="00CB64A5">
      <w:pPr>
        <w:spacing w:after="0" w:line="240" w:lineRule="auto"/>
        <w:jc w:val="both"/>
        <w:rPr>
          <w:rStyle w:val="postbody1"/>
          <w:rFonts w:ascii="Times New Roman" w:hAnsi="Times New Roman"/>
          <w:sz w:val="30"/>
          <w:szCs w:val="30"/>
        </w:rPr>
      </w:pPr>
      <w:r w:rsidRPr="00CB64A5">
        <w:rPr>
          <w:rStyle w:val="postbody1"/>
          <w:rFonts w:ascii="Times New Roman" w:hAnsi="Times New Roman"/>
          <w:sz w:val="30"/>
          <w:szCs w:val="30"/>
        </w:rPr>
        <w:t>Размещался на небольшой возвышенности рядом с хутором. В конце 1970-х во время строительства магистрали Брест – Москва и то и другое было уничтожено. Около леса в отвалах строительного мусора найдены небольшие фрагменты. Так же на откосе дороги в районе расположения дота, можно найти еще более мелкие фрагменты.</w:t>
      </w:r>
    </w:p>
    <w:p w:rsidR="00CB64A5" w:rsidRPr="00CB64A5" w:rsidRDefault="00CB64A5" w:rsidP="00CB64A5">
      <w:pPr>
        <w:spacing w:after="0" w:line="240" w:lineRule="auto"/>
        <w:jc w:val="both"/>
        <w:rPr>
          <w:rStyle w:val="postbody1"/>
          <w:rFonts w:ascii="Times New Roman" w:hAnsi="Times New Roman"/>
          <w:sz w:val="30"/>
          <w:szCs w:val="30"/>
        </w:rPr>
      </w:pPr>
      <w:r w:rsidRPr="00CB64A5">
        <w:rPr>
          <w:rStyle w:val="postbody1"/>
          <w:rFonts w:ascii="Times New Roman" w:hAnsi="Times New Roman"/>
          <w:sz w:val="30"/>
          <w:szCs w:val="30"/>
        </w:rPr>
        <w:t>Дот №17 – Дот №16</w:t>
      </w:r>
    </w:p>
    <w:p w:rsidR="00BB036F" w:rsidRDefault="00CB64A5" w:rsidP="00E30AB3">
      <w:pPr>
        <w:spacing w:after="0" w:line="240" w:lineRule="auto"/>
        <w:ind w:firstLine="567"/>
        <w:jc w:val="both"/>
        <w:rPr>
          <w:rFonts w:ascii="Times New Roman" w:hAnsi="Times New Roman"/>
          <w:b/>
          <w:sz w:val="30"/>
          <w:szCs w:val="30"/>
          <w:u w:val="single"/>
        </w:rPr>
      </w:pPr>
      <w:r w:rsidRPr="00CB64A5">
        <w:rPr>
          <w:rStyle w:val="postbody1"/>
          <w:rFonts w:ascii="Times New Roman" w:hAnsi="Times New Roman"/>
          <w:sz w:val="30"/>
          <w:szCs w:val="30"/>
        </w:rPr>
        <w:t>Располагался рядом с дорогой Негорелое – Дзержинск. В 1979 году дорогу отодвинули. Возвышенность около дота давно срезали, что-либо искать в округе, нет смысла. На доте в районе амбразур имеются повреждения от двух - трех артиллерийских попаданий. Больше похоже на баловство, чем на боевые действия.</w:t>
      </w:r>
    </w:p>
    <w:p w:rsidR="00E40FEE" w:rsidRPr="00E40FEE" w:rsidRDefault="00E40FEE" w:rsidP="00E40FEE">
      <w:pPr>
        <w:spacing w:after="0" w:line="240" w:lineRule="auto"/>
        <w:jc w:val="both"/>
        <w:rPr>
          <w:rStyle w:val="postbody1"/>
          <w:rFonts w:ascii="Times New Roman" w:hAnsi="Times New Roman"/>
          <w:sz w:val="30"/>
          <w:szCs w:val="30"/>
        </w:rPr>
      </w:pPr>
      <w:r>
        <w:rPr>
          <w:rFonts w:ascii="Times New Roman" w:hAnsi="Times New Roman"/>
          <w:b/>
          <w:i/>
          <w:sz w:val="30"/>
          <w:szCs w:val="30"/>
        </w:rPr>
        <w:lastRenderedPageBreak/>
        <w:t xml:space="preserve"> Гнучих Маргарита: </w:t>
      </w:r>
      <w:r w:rsidR="008D6F14">
        <w:rPr>
          <w:rFonts w:ascii="Times New Roman" w:hAnsi="Times New Roman"/>
          <w:sz w:val="30"/>
          <w:szCs w:val="30"/>
        </w:rPr>
        <w:t>Наша эк</w:t>
      </w:r>
      <w:r>
        <w:rPr>
          <w:rFonts w:ascii="Times New Roman" w:hAnsi="Times New Roman"/>
          <w:sz w:val="30"/>
          <w:szCs w:val="30"/>
        </w:rPr>
        <w:t>скурсия – это всего лишь небольшой шагв изучение истории нашей страны, нашего родного Дзержинского района. Изучать историю</w:t>
      </w:r>
      <w:r w:rsidR="008D6F14">
        <w:rPr>
          <w:rFonts w:ascii="Times New Roman" w:hAnsi="Times New Roman"/>
          <w:sz w:val="30"/>
          <w:szCs w:val="30"/>
        </w:rPr>
        <w:t>, помнить о славном боевом прошлом наших предков – наш долг.</w:t>
      </w:r>
    </w:p>
    <w:p w:rsidR="00B67A45" w:rsidRDefault="00B67A45" w:rsidP="00090E50">
      <w:pPr>
        <w:spacing w:after="0" w:line="240" w:lineRule="auto"/>
        <w:rPr>
          <w:rStyle w:val="postbody1"/>
          <w:rFonts w:ascii="Times New Roman" w:hAnsi="Times New Roman"/>
          <w:sz w:val="32"/>
          <w:szCs w:val="32"/>
        </w:rPr>
      </w:pPr>
    </w:p>
    <w:p w:rsidR="00BB036F" w:rsidRDefault="00BB036F" w:rsidP="00090E50">
      <w:pPr>
        <w:spacing w:after="0" w:line="240" w:lineRule="auto"/>
        <w:rPr>
          <w:rStyle w:val="postbody1"/>
          <w:rFonts w:ascii="Times New Roman" w:hAnsi="Times New Roman"/>
          <w:sz w:val="32"/>
          <w:szCs w:val="32"/>
        </w:rPr>
      </w:pPr>
    </w:p>
    <w:p w:rsidR="00090E50" w:rsidRPr="00090E50" w:rsidRDefault="00090E50" w:rsidP="00090E50">
      <w:pPr>
        <w:jc w:val="both"/>
      </w:pPr>
    </w:p>
    <w:sectPr w:rsidR="00090E50" w:rsidRPr="00090E50" w:rsidSect="00636F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E50" w:rsidRDefault="00090E50" w:rsidP="00090E50">
      <w:pPr>
        <w:spacing w:after="0" w:line="240" w:lineRule="auto"/>
      </w:pPr>
      <w:r>
        <w:separator/>
      </w:r>
    </w:p>
  </w:endnote>
  <w:endnote w:type="continuationSeparator" w:id="0">
    <w:p w:rsidR="00090E50" w:rsidRDefault="00090E50" w:rsidP="0009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E50" w:rsidRDefault="00090E50" w:rsidP="00090E50">
      <w:pPr>
        <w:spacing w:after="0" w:line="240" w:lineRule="auto"/>
      </w:pPr>
      <w:r>
        <w:separator/>
      </w:r>
    </w:p>
  </w:footnote>
  <w:footnote w:type="continuationSeparator" w:id="0">
    <w:p w:rsidR="00090E50" w:rsidRDefault="00090E50" w:rsidP="00090E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7E61"/>
    <w:multiLevelType w:val="hybridMultilevel"/>
    <w:tmpl w:val="18829124"/>
    <w:lvl w:ilvl="0" w:tplc="C7B28D74">
      <w:start w:val="1"/>
      <w:numFmt w:val="decimal"/>
      <w:lvlText w:val="%1."/>
      <w:lvlJc w:val="left"/>
      <w:pPr>
        <w:ind w:left="1069" w:hanging="360"/>
      </w:pPr>
      <w:rPr>
        <w:rFonts w:ascii="Calibri" w:hAnsi="Calibri" w:hint="default"/>
        <w:i/>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7B46901"/>
    <w:multiLevelType w:val="hybridMultilevel"/>
    <w:tmpl w:val="0C602C1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2394D7D"/>
    <w:multiLevelType w:val="hybridMultilevel"/>
    <w:tmpl w:val="DD66135A"/>
    <w:lvl w:ilvl="0" w:tplc="7E9A41F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90E50"/>
    <w:rsid w:val="00032D13"/>
    <w:rsid w:val="00090E50"/>
    <w:rsid w:val="003924C9"/>
    <w:rsid w:val="00424060"/>
    <w:rsid w:val="00607BD5"/>
    <w:rsid w:val="00636903"/>
    <w:rsid w:val="00636F8B"/>
    <w:rsid w:val="00692FFD"/>
    <w:rsid w:val="00752AB2"/>
    <w:rsid w:val="00753A17"/>
    <w:rsid w:val="0088247A"/>
    <w:rsid w:val="008D6F14"/>
    <w:rsid w:val="00A25EE1"/>
    <w:rsid w:val="00A3278A"/>
    <w:rsid w:val="00B67A45"/>
    <w:rsid w:val="00BB036F"/>
    <w:rsid w:val="00CB64A5"/>
    <w:rsid w:val="00E30AB3"/>
    <w:rsid w:val="00E40F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4E637692-D76C-4C83-A173-06DC04B2D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E50"/>
    <w:rPr>
      <w:rFonts w:ascii="Calibri" w:eastAsia="Calibri" w:hAnsi="Calibri" w:cs="Times New Roman"/>
    </w:rPr>
  </w:style>
  <w:style w:type="paragraph" w:styleId="1">
    <w:name w:val="heading 1"/>
    <w:basedOn w:val="a"/>
    <w:next w:val="a"/>
    <w:link w:val="10"/>
    <w:uiPriority w:val="9"/>
    <w:qFormat/>
    <w:rsid w:val="00090E50"/>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90E5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90E50"/>
    <w:rPr>
      <w:rFonts w:ascii="Calibri" w:eastAsia="Calibri" w:hAnsi="Calibri" w:cs="Times New Roman"/>
    </w:rPr>
  </w:style>
  <w:style w:type="paragraph" w:styleId="a5">
    <w:name w:val="footer"/>
    <w:basedOn w:val="a"/>
    <w:link w:val="a6"/>
    <w:uiPriority w:val="99"/>
    <w:semiHidden/>
    <w:unhideWhenUsed/>
    <w:rsid w:val="00090E5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090E50"/>
    <w:rPr>
      <w:rFonts w:ascii="Calibri" w:eastAsia="Calibri" w:hAnsi="Calibri" w:cs="Times New Roman"/>
    </w:rPr>
  </w:style>
  <w:style w:type="character" w:customStyle="1" w:styleId="10">
    <w:name w:val="Заголовок 1 Знак"/>
    <w:basedOn w:val="a0"/>
    <w:link w:val="1"/>
    <w:uiPriority w:val="9"/>
    <w:rsid w:val="00090E50"/>
    <w:rPr>
      <w:rFonts w:ascii="Cambria" w:eastAsia="Times New Roman" w:hAnsi="Cambria" w:cs="Times New Roman"/>
      <w:b/>
      <w:bCs/>
      <w:color w:val="365F91"/>
      <w:sz w:val="28"/>
      <w:szCs w:val="28"/>
    </w:rPr>
  </w:style>
  <w:style w:type="paragraph" w:styleId="a7">
    <w:name w:val="List Paragraph"/>
    <w:basedOn w:val="a"/>
    <w:uiPriority w:val="34"/>
    <w:qFormat/>
    <w:rsid w:val="00090E50"/>
    <w:pPr>
      <w:ind w:left="720"/>
      <w:contextualSpacing/>
    </w:pPr>
  </w:style>
  <w:style w:type="table" w:styleId="a8">
    <w:name w:val="Table Grid"/>
    <w:basedOn w:val="a1"/>
    <w:uiPriority w:val="59"/>
    <w:rsid w:val="00090E5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90E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90E50"/>
    <w:rPr>
      <w:rFonts w:ascii="Tahoma" w:eastAsia="Calibri" w:hAnsi="Tahoma" w:cs="Tahoma"/>
      <w:sz w:val="16"/>
      <w:szCs w:val="16"/>
    </w:rPr>
  </w:style>
  <w:style w:type="character" w:customStyle="1" w:styleId="postbody1">
    <w:name w:val="postbody1"/>
    <w:basedOn w:val="a0"/>
    <w:rsid w:val="00090E5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11</Pages>
  <Words>2061</Words>
  <Characters>11750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Дарья Смелова</cp:lastModifiedBy>
  <cp:revision>4</cp:revision>
  <dcterms:created xsi:type="dcterms:W3CDTF">2016-11-26T09:42:00Z</dcterms:created>
  <dcterms:modified xsi:type="dcterms:W3CDTF">2016-11-27T20:09:00Z</dcterms:modified>
</cp:coreProperties>
</file>